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Arial Unicode MS" w:hAnsi="Arial Unicode MS" w:eastAsia="Arial Unicode MS" w:cs="Arial Unicode MS"/>
          <w:bCs/>
          <w:color w:val="auto"/>
          <w:sz w:val="44"/>
          <w:szCs w:val="44"/>
          <w:highlight w:val="none"/>
        </w:rPr>
      </w:pPr>
      <w:bookmarkStart w:id="1" w:name="_GoBack"/>
      <w:bookmarkEnd w:id="1"/>
      <w:r>
        <w:rPr>
          <w:rFonts w:hint="eastAsia" w:ascii="Arial Unicode MS" w:hAnsi="Arial Unicode MS" w:eastAsia="Arial Unicode MS" w:cs="Arial Unicode MS"/>
          <w:bCs/>
          <w:color w:val="auto"/>
          <w:sz w:val="44"/>
          <w:szCs w:val="44"/>
          <w:highlight w:val="none"/>
        </w:rPr>
        <w:t>工程学院研究生学业奖学金评审实施细则</w:t>
      </w:r>
    </w:p>
    <w:p>
      <w:pPr>
        <w:spacing w:line="600" w:lineRule="exact"/>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w:t>
      </w:r>
      <w:r>
        <w:rPr>
          <w:rFonts w:hint="eastAsia" w:eastAsia="Arial Unicode MS"/>
          <w:bCs/>
          <w:color w:val="auto"/>
          <w:sz w:val="32"/>
          <w:szCs w:val="32"/>
          <w:highlight w:val="none"/>
          <w:lang w:val="en-US" w:eastAsia="zh-CN"/>
        </w:rPr>
        <w:t>征求意见稿</w:t>
      </w:r>
      <w:r>
        <w:rPr>
          <w:rFonts w:hint="eastAsia" w:ascii="Arial Unicode MS" w:hAnsi="Arial Unicode MS" w:eastAsia="Arial Unicode MS" w:cs="Arial Unicode MS"/>
          <w:bCs/>
          <w:color w:val="auto"/>
          <w:sz w:val="44"/>
          <w:szCs w:val="44"/>
          <w:highlight w:val="none"/>
        </w:rPr>
        <w:t>）</w:t>
      </w:r>
    </w:p>
    <w:p>
      <w:pPr>
        <w:spacing w:line="600" w:lineRule="exact"/>
        <w:jc w:val="center"/>
        <w:rPr>
          <w:rFonts w:hint="eastAsia" w:ascii="Arial Unicode MS" w:hAnsi="Arial Unicode MS" w:eastAsia="Arial Unicode MS" w:cs="Arial Unicode MS"/>
          <w:bCs/>
          <w:color w:val="auto"/>
          <w:sz w:val="44"/>
          <w:szCs w:val="44"/>
          <w:highlight w:val="none"/>
        </w:rPr>
      </w:pPr>
    </w:p>
    <w:p>
      <w:pPr>
        <w:spacing w:line="600" w:lineRule="exact"/>
        <w:ind w:firstLine="640" w:firstLineChars="20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总则</w:t>
      </w:r>
    </w:p>
    <w:p>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xml:space="preserve">  为了提高研究生培养质量，做好我院研究生学业奖学金的评审工作，根据学校《华南农业大学研究生国家奖助学金实施办法》（华农党发〔</w:t>
      </w:r>
      <w:r>
        <w:rPr>
          <w:rFonts w:eastAsia="仿宋_GB2312"/>
          <w:color w:val="auto"/>
          <w:sz w:val="32"/>
          <w:szCs w:val="32"/>
          <w:highlight w:val="none"/>
        </w:rPr>
        <w:t>2021</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35</w:t>
      </w:r>
      <w:r>
        <w:rPr>
          <w:rFonts w:hint="eastAsia" w:ascii="仿宋_GB2312" w:hAnsi="仿宋_GB2312" w:eastAsia="仿宋_GB2312" w:cs="仿宋_GB2312"/>
          <w:color w:val="auto"/>
          <w:sz w:val="32"/>
          <w:szCs w:val="32"/>
          <w:highlight w:val="none"/>
        </w:rPr>
        <w:t>号）的文件要求，结合我院实际情况，制定本实施细则。</w:t>
      </w:r>
    </w:p>
    <w:p>
      <w:pPr>
        <w:spacing w:line="600" w:lineRule="exact"/>
        <w:ind w:firstLine="643" w:firstLineChars="200"/>
        <w:jc w:val="left"/>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第二条</w:t>
      </w:r>
      <w:r>
        <w:rPr>
          <w:rFonts w:hint="eastAsia" w:ascii="仿宋_GB2312" w:hAnsi="仿宋_GB2312" w:eastAsia="仿宋_GB2312" w:cs="仿宋_GB2312"/>
          <w:color w:val="auto"/>
          <w:sz w:val="32"/>
          <w:szCs w:val="32"/>
          <w:highlight w:val="none"/>
          <w:shd w:val="clear" w:color="auto" w:fill="FFFFFF"/>
        </w:rPr>
        <w:t xml:space="preserve">  本细则中所指的学业奖学金用于奖励工程学院表现良好的全日制在读研究生。</w:t>
      </w:r>
    </w:p>
    <w:p>
      <w:pPr>
        <w:spacing w:line="600" w:lineRule="exact"/>
        <w:ind w:firstLine="640" w:firstLineChars="20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学业奖学金评审机构</w:t>
      </w:r>
    </w:p>
    <w:p>
      <w:pPr>
        <w:spacing w:line="600" w:lineRule="exact"/>
        <w:ind w:firstLine="643" w:firstLineChars="200"/>
        <w:jc w:val="left"/>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第三条</w:t>
      </w:r>
      <w:r>
        <w:rPr>
          <w:rFonts w:hint="eastAsia" w:ascii="仿宋_GB2312" w:hAnsi="仿宋_GB2312" w:eastAsia="仿宋_GB2312" w:cs="仿宋_GB2312"/>
          <w:color w:val="auto"/>
          <w:sz w:val="32"/>
          <w:szCs w:val="32"/>
          <w:highlight w:val="none"/>
          <w:shd w:val="clear" w:color="auto" w:fill="FFFFFF"/>
        </w:rPr>
        <w:t xml:space="preserve">  学院成立学业奖学金工作评审小组，由学院党委书记担任组长，成员由学院党政领导</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3人</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、辅导员</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3人</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、研究生导师代表</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3人</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和研究生代表</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3人</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组成。学院评审工作小组负责学院学业奖学金的评审工作。</w:t>
      </w:r>
    </w:p>
    <w:p>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shd w:val="clear" w:color="auto" w:fill="FFFFFF"/>
        </w:rPr>
        <w:t>第四条</w:t>
      </w:r>
      <w:r>
        <w:rPr>
          <w:rFonts w:hint="eastAsia" w:ascii="仿宋_GB2312" w:hAnsi="仿宋_GB2312" w:eastAsia="仿宋_GB2312" w:cs="仿宋_GB2312"/>
          <w:color w:val="auto"/>
          <w:sz w:val="32"/>
          <w:szCs w:val="32"/>
          <w:highlight w:val="none"/>
          <w:shd w:val="clear" w:color="auto" w:fill="FFFFFF"/>
        </w:rPr>
        <w:t xml:space="preserve">  各年级成立班级（年级）学业奖学金评审小组</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9人以内，人数为奇数</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rPr>
        <w:t>班级（年级）评审工作小组由班主任（辅导员）担任组长，成员由班长、团支书、学生代表组成，负责对申请人材料进行初步审查。</w:t>
      </w:r>
    </w:p>
    <w:p>
      <w:pPr>
        <w:spacing w:line="600" w:lineRule="exact"/>
        <w:ind w:firstLine="640" w:firstLineChars="20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  学业奖学金奖励标准、基本条件与名额分配</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rPr>
        <w:t xml:space="preserve">  学业奖学金奖励标准与名额分配  </w:t>
      </w:r>
    </w:p>
    <w:p>
      <w:pPr>
        <w:spacing w:line="576" w:lineRule="exact"/>
        <w:ind w:firstLine="624" w:firstLineChars="200"/>
        <w:rPr>
          <w:rFonts w:hint="eastAsia" w:ascii="仿宋_GB2312" w:eastAsia="仿宋_GB2312"/>
          <w:color w:val="auto"/>
          <w:spacing w:val="-4"/>
          <w:sz w:val="32"/>
          <w:szCs w:val="32"/>
          <w:highlight w:val="none"/>
        </w:rPr>
      </w:pPr>
      <w:r>
        <w:rPr>
          <w:rFonts w:hint="eastAsia" w:ascii="仿宋_GB2312" w:eastAsia="仿宋_GB2312"/>
          <w:color w:val="auto"/>
          <w:spacing w:val="-4"/>
          <w:sz w:val="32"/>
          <w:szCs w:val="32"/>
          <w:highlight w:val="none"/>
        </w:rPr>
        <w:t>（一）学业奖学金的奖励标准为分三档进行奖励，详见表</w:t>
      </w:r>
      <w:r>
        <w:rPr>
          <w:rFonts w:eastAsia="仿宋_GB2312"/>
          <w:color w:val="auto"/>
          <w:spacing w:val="-4"/>
          <w:sz w:val="32"/>
          <w:szCs w:val="32"/>
          <w:highlight w:val="none"/>
        </w:rPr>
        <w:t>1</w:t>
      </w:r>
      <w:r>
        <w:rPr>
          <w:rFonts w:hint="eastAsia" w:ascii="仿宋_GB2312" w:eastAsia="仿宋_GB2312"/>
          <w:color w:val="auto"/>
          <w:spacing w:val="-4"/>
          <w:sz w:val="32"/>
          <w:szCs w:val="32"/>
          <w:highlight w:val="none"/>
        </w:rPr>
        <w:t>。</w:t>
      </w:r>
    </w:p>
    <w:p>
      <w:pPr>
        <w:spacing w:line="576" w:lineRule="exact"/>
        <w:ind w:firstLine="624" w:firstLineChars="200"/>
        <w:rPr>
          <w:rFonts w:hint="eastAsia" w:ascii="仿宋_GB2312" w:eastAsia="仿宋_GB2312"/>
          <w:color w:val="auto"/>
          <w:spacing w:val="-4"/>
          <w:sz w:val="32"/>
          <w:szCs w:val="32"/>
          <w:highlight w:val="none"/>
        </w:rPr>
      </w:pPr>
    </w:p>
    <w:p>
      <w:pPr>
        <w:spacing w:line="576" w:lineRule="exact"/>
        <w:ind w:firstLine="624" w:firstLineChars="200"/>
        <w:jc w:val="center"/>
        <w:rPr>
          <w:rFonts w:hint="eastAsia" w:eastAsia="仿宋_GB2312"/>
          <w:color w:val="auto"/>
          <w:spacing w:val="-4"/>
          <w:sz w:val="32"/>
          <w:highlight w:val="none"/>
        </w:rPr>
      </w:pPr>
      <w:r>
        <w:rPr>
          <w:rFonts w:hint="eastAsia" w:eastAsia="仿宋_GB2312"/>
          <w:color w:val="auto"/>
          <w:spacing w:val="-4"/>
          <w:sz w:val="32"/>
          <w:highlight w:val="none"/>
        </w:rPr>
        <w:t>表</w:t>
      </w:r>
      <w:r>
        <w:rPr>
          <w:rFonts w:eastAsia="仿宋_GB2312"/>
          <w:color w:val="auto"/>
          <w:spacing w:val="-4"/>
          <w:sz w:val="32"/>
          <w:szCs w:val="32"/>
          <w:highlight w:val="none"/>
        </w:rPr>
        <w:t>1</w:t>
      </w:r>
      <w:r>
        <w:rPr>
          <w:rFonts w:eastAsia="仿宋_GB2312"/>
          <w:color w:val="auto"/>
          <w:spacing w:val="-4"/>
          <w:sz w:val="32"/>
          <w:highlight w:val="none"/>
        </w:rPr>
        <w:t xml:space="preserve">  </w:t>
      </w:r>
      <w:r>
        <w:rPr>
          <w:rFonts w:hint="eastAsia" w:eastAsia="仿宋_GB2312"/>
          <w:color w:val="auto"/>
          <w:spacing w:val="-4"/>
          <w:sz w:val="32"/>
          <w:highlight w:val="none"/>
        </w:rPr>
        <w:t>全日制研究生学业奖学金奖励标准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1743"/>
        <w:gridCol w:w="2183"/>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noWrap w:val="0"/>
            <w:vAlign w:val="center"/>
          </w:tcPr>
          <w:p>
            <w:pPr>
              <w:spacing w:line="576" w:lineRule="exact"/>
              <w:jc w:val="center"/>
              <w:rPr>
                <w:rFonts w:ascii="仿宋" w:hAnsi="仿宋" w:eastAsia="仿宋"/>
                <w:b/>
                <w:color w:val="auto"/>
                <w:spacing w:val="-4"/>
                <w:sz w:val="32"/>
                <w:szCs w:val="32"/>
                <w:highlight w:val="none"/>
              </w:rPr>
            </w:pPr>
            <w:r>
              <w:rPr>
                <w:rFonts w:ascii="仿宋" w:hAnsi="仿宋" w:eastAsia="仿宋"/>
                <w:b/>
                <w:color w:val="auto"/>
                <w:spacing w:val="-4"/>
                <w:sz w:val="32"/>
                <w:szCs w:val="32"/>
                <w:highlight w:val="none"/>
                <w:lang w:val="zh-CN"/>
              </w:rPr>
              <w:t>类别</w:t>
            </w:r>
          </w:p>
        </w:tc>
        <w:tc>
          <w:tcPr>
            <w:tcW w:w="1743" w:type="dxa"/>
            <w:noWrap w:val="0"/>
            <w:vAlign w:val="center"/>
          </w:tcPr>
          <w:p>
            <w:pPr>
              <w:spacing w:line="576" w:lineRule="exact"/>
              <w:jc w:val="center"/>
              <w:rPr>
                <w:rFonts w:ascii="仿宋" w:hAnsi="仿宋" w:eastAsia="仿宋"/>
                <w:b/>
                <w:color w:val="auto"/>
                <w:spacing w:val="-4"/>
                <w:sz w:val="32"/>
                <w:szCs w:val="32"/>
                <w:highlight w:val="none"/>
              </w:rPr>
            </w:pPr>
            <w:r>
              <w:rPr>
                <w:rFonts w:ascii="仿宋" w:hAnsi="仿宋" w:eastAsia="仿宋"/>
                <w:b/>
                <w:color w:val="auto"/>
                <w:spacing w:val="-4"/>
                <w:sz w:val="32"/>
                <w:szCs w:val="32"/>
                <w:highlight w:val="none"/>
                <w:lang w:val="zh-CN"/>
              </w:rPr>
              <w:t>等级</w:t>
            </w:r>
          </w:p>
        </w:tc>
        <w:tc>
          <w:tcPr>
            <w:tcW w:w="2183" w:type="dxa"/>
            <w:noWrap w:val="0"/>
            <w:vAlign w:val="center"/>
          </w:tcPr>
          <w:p>
            <w:pPr>
              <w:spacing w:line="576" w:lineRule="exact"/>
              <w:jc w:val="center"/>
              <w:rPr>
                <w:rFonts w:ascii="仿宋" w:hAnsi="仿宋" w:eastAsia="仿宋"/>
                <w:b/>
                <w:color w:val="auto"/>
                <w:spacing w:val="-4"/>
                <w:sz w:val="32"/>
                <w:szCs w:val="32"/>
                <w:highlight w:val="none"/>
              </w:rPr>
            </w:pPr>
            <w:r>
              <w:rPr>
                <w:rFonts w:ascii="仿宋" w:hAnsi="仿宋" w:eastAsia="仿宋"/>
                <w:b/>
                <w:color w:val="auto"/>
                <w:spacing w:val="-4"/>
                <w:sz w:val="32"/>
                <w:szCs w:val="32"/>
                <w:highlight w:val="none"/>
                <w:lang w:val="zh-CN"/>
              </w:rPr>
              <w:t>比例</w:t>
            </w:r>
          </w:p>
        </w:tc>
        <w:tc>
          <w:tcPr>
            <w:tcW w:w="2516" w:type="dxa"/>
            <w:noWrap w:val="0"/>
            <w:vAlign w:val="center"/>
          </w:tcPr>
          <w:p>
            <w:pPr>
              <w:spacing w:line="576" w:lineRule="exact"/>
              <w:jc w:val="center"/>
              <w:rPr>
                <w:rFonts w:ascii="仿宋" w:hAnsi="仿宋" w:eastAsia="仿宋"/>
                <w:b/>
                <w:color w:val="auto"/>
                <w:spacing w:val="-4"/>
                <w:sz w:val="32"/>
                <w:szCs w:val="32"/>
                <w:highlight w:val="none"/>
                <w:lang w:val="zh-CN"/>
              </w:rPr>
            </w:pPr>
            <w:r>
              <w:rPr>
                <w:rFonts w:ascii="仿宋" w:hAnsi="仿宋" w:eastAsia="仿宋"/>
                <w:b/>
                <w:color w:val="auto"/>
                <w:spacing w:val="-4"/>
                <w:sz w:val="32"/>
                <w:szCs w:val="32"/>
                <w:highlight w:val="none"/>
                <w:lang w:val="zh-CN"/>
              </w:rPr>
              <w:t>奖励标准</w:t>
            </w:r>
          </w:p>
          <w:p>
            <w:pPr>
              <w:spacing w:line="576" w:lineRule="exact"/>
              <w:jc w:val="center"/>
              <w:rPr>
                <w:rFonts w:ascii="仿宋" w:hAnsi="仿宋" w:eastAsia="仿宋"/>
                <w:b/>
                <w:color w:val="auto"/>
                <w:spacing w:val="-4"/>
                <w:sz w:val="32"/>
                <w:szCs w:val="32"/>
                <w:highlight w:val="none"/>
              </w:rPr>
            </w:pPr>
            <w:r>
              <w:rPr>
                <w:rFonts w:ascii="仿宋" w:hAnsi="仿宋" w:eastAsia="仿宋"/>
                <w:b/>
                <w:color w:val="auto"/>
                <w:spacing w:val="-4"/>
                <w:sz w:val="32"/>
                <w:szCs w:val="32"/>
                <w:highlight w:val="none"/>
                <w:lang w:val="zh-CN"/>
              </w:rPr>
              <w:t>（元/</w:t>
            </w:r>
            <w:r>
              <w:rPr>
                <w:rFonts w:hint="eastAsia" w:ascii="仿宋" w:hAnsi="仿宋" w:eastAsia="仿宋"/>
                <w:b/>
                <w:color w:val="auto"/>
                <w:spacing w:val="-4"/>
                <w:sz w:val="32"/>
                <w:szCs w:val="32"/>
                <w:highlight w:val="none"/>
              </w:rPr>
              <w:t>人·年</w:t>
            </w:r>
            <w:r>
              <w:rPr>
                <w:rFonts w:ascii="仿宋" w:hAnsi="仿宋" w:eastAsia="仿宋"/>
                <w:b/>
                <w:color w:val="auto"/>
                <w:spacing w:val="-4"/>
                <w:sz w:val="32"/>
                <w:szCs w:val="3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restart"/>
            <w:noWrap w:val="0"/>
            <w:vAlign w:val="center"/>
          </w:tcPr>
          <w:p>
            <w:pPr>
              <w:spacing w:line="576" w:lineRule="exact"/>
              <w:jc w:val="center"/>
              <w:rPr>
                <w:rFonts w:ascii="仿宋" w:hAnsi="仿宋" w:eastAsia="仿宋"/>
                <w:color w:val="auto"/>
                <w:spacing w:val="-4"/>
                <w:sz w:val="32"/>
                <w:szCs w:val="32"/>
                <w:highlight w:val="none"/>
                <w:lang w:val="zh-CN"/>
              </w:rPr>
            </w:pPr>
            <w:r>
              <w:rPr>
                <w:rFonts w:ascii="仿宋" w:hAnsi="仿宋" w:eastAsia="仿宋"/>
                <w:color w:val="auto"/>
                <w:spacing w:val="-4"/>
                <w:sz w:val="32"/>
                <w:szCs w:val="32"/>
                <w:highlight w:val="none"/>
                <w:lang w:val="zh-CN"/>
              </w:rPr>
              <w:t>博士研究生学业奖学金</w:t>
            </w:r>
          </w:p>
        </w:tc>
        <w:tc>
          <w:tcPr>
            <w:tcW w:w="1743" w:type="dxa"/>
            <w:noWrap w:val="0"/>
            <w:vAlign w:val="center"/>
          </w:tcPr>
          <w:p>
            <w:pPr>
              <w:spacing w:line="576" w:lineRule="exact"/>
              <w:jc w:val="center"/>
              <w:rPr>
                <w:rFonts w:ascii="仿宋" w:hAnsi="仿宋" w:eastAsia="仿宋"/>
                <w:color w:val="auto"/>
                <w:spacing w:val="-4"/>
                <w:sz w:val="32"/>
                <w:szCs w:val="32"/>
                <w:highlight w:val="none"/>
              </w:rPr>
            </w:pPr>
            <w:r>
              <w:rPr>
                <w:rFonts w:ascii="仿宋" w:hAnsi="仿宋" w:eastAsia="仿宋"/>
                <w:color w:val="auto"/>
                <w:spacing w:val="-4"/>
                <w:sz w:val="32"/>
                <w:szCs w:val="32"/>
                <w:highlight w:val="none"/>
                <w:lang w:val="zh-CN"/>
              </w:rPr>
              <w:t>一等奖</w:t>
            </w:r>
          </w:p>
        </w:tc>
        <w:tc>
          <w:tcPr>
            <w:tcW w:w="2183" w:type="dxa"/>
            <w:noWrap w:val="0"/>
            <w:vAlign w:val="center"/>
          </w:tcPr>
          <w:p>
            <w:pPr>
              <w:spacing w:line="576" w:lineRule="exact"/>
              <w:jc w:val="center"/>
              <w:rPr>
                <w:rFonts w:ascii="仿宋" w:hAnsi="仿宋" w:eastAsia="仿宋"/>
                <w:color w:val="auto"/>
                <w:spacing w:val="-4"/>
                <w:sz w:val="32"/>
                <w:szCs w:val="32"/>
                <w:highlight w:val="none"/>
              </w:rPr>
            </w:pPr>
            <w:r>
              <w:rPr>
                <w:rFonts w:eastAsia="仿宋"/>
                <w:color w:val="auto"/>
                <w:spacing w:val="-4"/>
                <w:sz w:val="32"/>
                <w:szCs w:val="32"/>
                <w:highlight w:val="none"/>
                <w:lang w:val="zh-CN"/>
              </w:rPr>
              <w:t>20</w:t>
            </w:r>
            <w:r>
              <w:rPr>
                <w:rFonts w:ascii="仿宋" w:hAnsi="仿宋" w:eastAsia="仿宋"/>
                <w:color w:val="auto"/>
                <w:spacing w:val="-4"/>
                <w:sz w:val="32"/>
                <w:szCs w:val="32"/>
                <w:highlight w:val="none"/>
                <w:lang w:val="zh-CN"/>
              </w:rPr>
              <w:t>%</w:t>
            </w:r>
          </w:p>
        </w:tc>
        <w:tc>
          <w:tcPr>
            <w:tcW w:w="2516" w:type="dxa"/>
            <w:noWrap w:val="0"/>
            <w:vAlign w:val="center"/>
          </w:tcPr>
          <w:p>
            <w:pPr>
              <w:spacing w:line="576" w:lineRule="exact"/>
              <w:jc w:val="center"/>
              <w:rPr>
                <w:rFonts w:ascii="仿宋" w:hAnsi="仿宋" w:eastAsia="仿宋"/>
                <w:color w:val="auto"/>
                <w:spacing w:val="-4"/>
                <w:sz w:val="32"/>
                <w:szCs w:val="32"/>
                <w:highlight w:val="none"/>
              </w:rPr>
            </w:pPr>
            <w:r>
              <w:rPr>
                <w:rFonts w:eastAsia="仿宋"/>
                <w:color w:val="auto"/>
                <w:spacing w:val="-4"/>
                <w:sz w:val="32"/>
                <w:szCs w:val="32"/>
                <w:highlight w:val="none"/>
                <w:lang w:val="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continue"/>
            <w:noWrap w:val="0"/>
            <w:vAlign w:val="center"/>
          </w:tcPr>
          <w:p>
            <w:pPr>
              <w:spacing w:line="576" w:lineRule="exact"/>
              <w:jc w:val="center"/>
              <w:rPr>
                <w:rFonts w:ascii="仿宋" w:hAnsi="仿宋" w:eastAsia="仿宋"/>
                <w:color w:val="auto"/>
                <w:spacing w:val="-4"/>
                <w:sz w:val="32"/>
                <w:szCs w:val="32"/>
                <w:highlight w:val="none"/>
              </w:rPr>
            </w:pPr>
          </w:p>
        </w:tc>
        <w:tc>
          <w:tcPr>
            <w:tcW w:w="1743" w:type="dxa"/>
            <w:noWrap w:val="0"/>
            <w:vAlign w:val="center"/>
          </w:tcPr>
          <w:p>
            <w:pPr>
              <w:spacing w:line="576" w:lineRule="exact"/>
              <w:jc w:val="center"/>
              <w:rPr>
                <w:rFonts w:ascii="仿宋" w:hAnsi="仿宋" w:eastAsia="仿宋"/>
                <w:color w:val="auto"/>
                <w:spacing w:val="-4"/>
                <w:sz w:val="32"/>
                <w:szCs w:val="32"/>
                <w:highlight w:val="none"/>
              </w:rPr>
            </w:pPr>
            <w:r>
              <w:rPr>
                <w:rFonts w:ascii="仿宋" w:hAnsi="仿宋" w:eastAsia="仿宋"/>
                <w:color w:val="auto"/>
                <w:spacing w:val="-4"/>
                <w:sz w:val="32"/>
                <w:szCs w:val="32"/>
                <w:highlight w:val="none"/>
                <w:lang w:val="zh-CN"/>
              </w:rPr>
              <w:t>二等奖</w:t>
            </w:r>
          </w:p>
        </w:tc>
        <w:tc>
          <w:tcPr>
            <w:tcW w:w="2183" w:type="dxa"/>
            <w:noWrap w:val="0"/>
            <w:vAlign w:val="center"/>
          </w:tcPr>
          <w:p>
            <w:pPr>
              <w:spacing w:line="576" w:lineRule="exact"/>
              <w:jc w:val="center"/>
              <w:rPr>
                <w:rFonts w:ascii="仿宋" w:hAnsi="仿宋" w:eastAsia="仿宋"/>
                <w:color w:val="auto"/>
                <w:spacing w:val="-4"/>
                <w:sz w:val="32"/>
                <w:szCs w:val="32"/>
                <w:highlight w:val="none"/>
              </w:rPr>
            </w:pPr>
            <w:r>
              <w:rPr>
                <w:rFonts w:eastAsia="仿宋"/>
                <w:color w:val="auto"/>
                <w:spacing w:val="-4"/>
                <w:sz w:val="32"/>
                <w:szCs w:val="32"/>
                <w:highlight w:val="none"/>
                <w:lang w:val="zh-CN"/>
              </w:rPr>
              <w:t>30</w:t>
            </w:r>
            <w:r>
              <w:rPr>
                <w:rFonts w:ascii="仿宋" w:hAnsi="仿宋" w:eastAsia="仿宋"/>
                <w:color w:val="auto"/>
                <w:spacing w:val="-4"/>
                <w:sz w:val="32"/>
                <w:szCs w:val="32"/>
                <w:highlight w:val="none"/>
                <w:lang w:val="zh-CN"/>
              </w:rPr>
              <w:t>%</w:t>
            </w:r>
          </w:p>
        </w:tc>
        <w:tc>
          <w:tcPr>
            <w:tcW w:w="2516" w:type="dxa"/>
            <w:noWrap w:val="0"/>
            <w:vAlign w:val="center"/>
          </w:tcPr>
          <w:p>
            <w:pPr>
              <w:spacing w:line="576" w:lineRule="exact"/>
              <w:jc w:val="center"/>
              <w:rPr>
                <w:rFonts w:ascii="仿宋" w:hAnsi="仿宋" w:eastAsia="仿宋"/>
                <w:color w:val="auto"/>
                <w:spacing w:val="-4"/>
                <w:sz w:val="32"/>
                <w:szCs w:val="32"/>
                <w:highlight w:val="none"/>
              </w:rPr>
            </w:pPr>
            <w:r>
              <w:rPr>
                <w:rFonts w:eastAsia="仿宋"/>
                <w:color w:val="auto"/>
                <w:spacing w:val="-4"/>
                <w:sz w:val="32"/>
                <w:szCs w:val="32"/>
                <w:highlight w:val="none"/>
                <w:lang w:val="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continue"/>
            <w:noWrap w:val="0"/>
            <w:vAlign w:val="center"/>
          </w:tcPr>
          <w:p>
            <w:pPr>
              <w:spacing w:line="576" w:lineRule="exact"/>
              <w:jc w:val="center"/>
              <w:rPr>
                <w:rFonts w:ascii="仿宋" w:hAnsi="仿宋" w:eastAsia="仿宋"/>
                <w:color w:val="auto"/>
                <w:spacing w:val="-4"/>
                <w:sz w:val="32"/>
                <w:szCs w:val="32"/>
                <w:highlight w:val="none"/>
              </w:rPr>
            </w:pPr>
          </w:p>
        </w:tc>
        <w:tc>
          <w:tcPr>
            <w:tcW w:w="1743" w:type="dxa"/>
            <w:noWrap w:val="0"/>
            <w:vAlign w:val="center"/>
          </w:tcPr>
          <w:p>
            <w:pPr>
              <w:spacing w:line="576" w:lineRule="exact"/>
              <w:jc w:val="center"/>
              <w:rPr>
                <w:rFonts w:ascii="仿宋" w:hAnsi="仿宋" w:eastAsia="仿宋"/>
                <w:color w:val="auto"/>
                <w:spacing w:val="-4"/>
                <w:sz w:val="32"/>
                <w:szCs w:val="32"/>
                <w:highlight w:val="none"/>
              </w:rPr>
            </w:pPr>
            <w:r>
              <w:rPr>
                <w:rFonts w:ascii="仿宋" w:hAnsi="仿宋" w:eastAsia="仿宋"/>
                <w:color w:val="auto"/>
                <w:spacing w:val="-4"/>
                <w:sz w:val="32"/>
                <w:szCs w:val="32"/>
                <w:highlight w:val="none"/>
                <w:lang w:val="zh-CN"/>
              </w:rPr>
              <w:t>三等奖</w:t>
            </w:r>
          </w:p>
        </w:tc>
        <w:tc>
          <w:tcPr>
            <w:tcW w:w="2183" w:type="dxa"/>
            <w:noWrap w:val="0"/>
            <w:vAlign w:val="center"/>
          </w:tcPr>
          <w:p>
            <w:pPr>
              <w:spacing w:line="576" w:lineRule="exact"/>
              <w:jc w:val="center"/>
              <w:rPr>
                <w:rFonts w:ascii="仿宋" w:hAnsi="仿宋" w:eastAsia="仿宋"/>
                <w:color w:val="auto"/>
                <w:spacing w:val="-4"/>
                <w:sz w:val="32"/>
                <w:szCs w:val="32"/>
                <w:highlight w:val="none"/>
              </w:rPr>
            </w:pPr>
            <w:r>
              <w:rPr>
                <w:rFonts w:eastAsia="仿宋"/>
                <w:color w:val="auto"/>
                <w:spacing w:val="-4"/>
                <w:sz w:val="32"/>
                <w:szCs w:val="32"/>
                <w:highlight w:val="none"/>
                <w:lang w:val="zh-CN"/>
              </w:rPr>
              <w:t>50%</w:t>
            </w:r>
          </w:p>
        </w:tc>
        <w:tc>
          <w:tcPr>
            <w:tcW w:w="2516" w:type="dxa"/>
            <w:noWrap w:val="0"/>
            <w:vAlign w:val="center"/>
          </w:tcPr>
          <w:p>
            <w:pPr>
              <w:spacing w:line="576" w:lineRule="exact"/>
              <w:jc w:val="center"/>
              <w:rPr>
                <w:rFonts w:ascii="仿宋" w:hAnsi="仿宋" w:eastAsia="仿宋"/>
                <w:color w:val="auto"/>
                <w:spacing w:val="-4"/>
                <w:sz w:val="32"/>
                <w:szCs w:val="32"/>
                <w:highlight w:val="none"/>
              </w:rPr>
            </w:pPr>
            <w:r>
              <w:rPr>
                <w:rFonts w:eastAsia="仿宋"/>
                <w:color w:val="auto"/>
                <w:spacing w:val="-4"/>
                <w:sz w:val="32"/>
                <w:szCs w:val="32"/>
                <w:highlight w:val="none"/>
                <w:lang w:val="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restart"/>
            <w:noWrap w:val="0"/>
            <w:vAlign w:val="center"/>
          </w:tcPr>
          <w:p>
            <w:pPr>
              <w:spacing w:line="576" w:lineRule="exact"/>
              <w:jc w:val="center"/>
              <w:rPr>
                <w:rFonts w:ascii="仿宋" w:hAnsi="仿宋" w:eastAsia="仿宋"/>
                <w:color w:val="auto"/>
                <w:spacing w:val="-4"/>
                <w:sz w:val="32"/>
                <w:szCs w:val="32"/>
                <w:highlight w:val="none"/>
                <w:lang w:val="zh-CN"/>
              </w:rPr>
            </w:pPr>
            <w:r>
              <w:rPr>
                <w:rFonts w:ascii="仿宋" w:hAnsi="仿宋" w:eastAsia="仿宋"/>
                <w:color w:val="auto"/>
                <w:spacing w:val="-4"/>
                <w:sz w:val="32"/>
                <w:szCs w:val="32"/>
                <w:highlight w:val="none"/>
                <w:lang w:val="zh-CN"/>
              </w:rPr>
              <w:t>硕士研究生学业奖学金</w:t>
            </w:r>
          </w:p>
        </w:tc>
        <w:tc>
          <w:tcPr>
            <w:tcW w:w="1743" w:type="dxa"/>
            <w:noWrap w:val="0"/>
            <w:vAlign w:val="center"/>
          </w:tcPr>
          <w:p>
            <w:pPr>
              <w:spacing w:line="576" w:lineRule="exact"/>
              <w:jc w:val="center"/>
              <w:rPr>
                <w:rFonts w:ascii="仿宋" w:hAnsi="仿宋" w:eastAsia="仿宋"/>
                <w:color w:val="auto"/>
                <w:spacing w:val="-4"/>
                <w:sz w:val="32"/>
                <w:szCs w:val="32"/>
                <w:highlight w:val="none"/>
              </w:rPr>
            </w:pPr>
            <w:r>
              <w:rPr>
                <w:rFonts w:ascii="仿宋" w:hAnsi="仿宋" w:eastAsia="仿宋"/>
                <w:color w:val="auto"/>
                <w:spacing w:val="-4"/>
                <w:sz w:val="32"/>
                <w:szCs w:val="32"/>
                <w:highlight w:val="none"/>
                <w:lang w:val="zh-CN"/>
              </w:rPr>
              <w:t>一等奖</w:t>
            </w:r>
          </w:p>
        </w:tc>
        <w:tc>
          <w:tcPr>
            <w:tcW w:w="2183" w:type="dxa"/>
            <w:noWrap w:val="0"/>
            <w:vAlign w:val="center"/>
          </w:tcPr>
          <w:p>
            <w:pPr>
              <w:spacing w:line="576" w:lineRule="exact"/>
              <w:jc w:val="center"/>
              <w:rPr>
                <w:rFonts w:ascii="仿宋" w:hAnsi="仿宋" w:eastAsia="仿宋"/>
                <w:color w:val="auto"/>
                <w:spacing w:val="-4"/>
                <w:sz w:val="32"/>
                <w:szCs w:val="32"/>
                <w:highlight w:val="none"/>
              </w:rPr>
            </w:pPr>
            <w:r>
              <w:rPr>
                <w:rFonts w:eastAsia="仿宋"/>
                <w:color w:val="auto"/>
                <w:spacing w:val="-4"/>
                <w:sz w:val="32"/>
                <w:szCs w:val="32"/>
                <w:highlight w:val="none"/>
                <w:lang w:val="zh-CN"/>
              </w:rPr>
              <w:t>20%</w:t>
            </w:r>
          </w:p>
        </w:tc>
        <w:tc>
          <w:tcPr>
            <w:tcW w:w="2516" w:type="dxa"/>
            <w:noWrap w:val="0"/>
            <w:vAlign w:val="center"/>
          </w:tcPr>
          <w:p>
            <w:pPr>
              <w:spacing w:line="576" w:lineRule="exact"/>
              <w:jc w:val="center"/>
              <w:rPr>
                <w:rFonts w:ascii="仿宋" w:hAnsi="仿宋" w:eastAsia="仿宋"/>
                <w:color w:val="auto"/>
                <w:spacing w:val="-4"/>
                <w:sz w:val="32"/>
                <w:szCs w:val="32"/>
                <w:highlight w:val="none"/>
              </w:rPr>
            </w:pPr>
            <w:r>
              <w:rPr>
                <w:rFonts w:eastAsia="仿宋"/>
                <w:color w:val="auto"/>
                <w:spacing w:val="-4"/>
                <w:sz w:val="32"/>
                <w:szCs w:val="32"/>
                <w:highlight w:val="none"/>
                <w:lang w:val="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continue"/>
            <w:noWrap w:val="0"/>
            <w:vAlign w:val="center"/>
          </w:tcPr>
          <w:p>
            <w:pPr>
              <w:spacing w:line="576" w:lineRule="exact"/>
              <w:jc w:val="center"/>
              <w:rPr>
                <w:rFonts w:ascii="仿宋" w:hAnsi="仿宋" w:eastAsia="仿宋"/>
                <w:color w:val="auto"/>
                <w:spacing w:val="-4"/>
                <w:sz w:val="32"/>
                <w:szCs w:val="32"/>
                <w:highlight w:val="none"/>
              </w:rPr>
            </w:pPr>
          </w:p>
        </w:tc>
        <w:tc>
          <w:tcPr>
            <w:tcW w:w="1743" w:type="dxa"/>
            <w:noWrap w:val="0"/>
            <w:vAlign w:val="center"/>
          </w:tcPr>
          <w:p>
            <w:pPr>
              <w:spacing w:line="576" w:lineRule="exact"/>
              <w:jc w:val="center"/>
              <w:rPr>
                <w:rFonts w:ascii="仿宋" w:hAnsi="仿宋" w:eastAsia="仿宋"/>
                <w:color w:val="auto"/>
                <w:spacing w:val="-4"/>
                <w:sz w:val="32"/>
                <w:szCs w:val="32"/>
                <w:highlight w:val="none"/>
              </w:rPr>
            </w:pPr>
            <w:r>
              <w:rPr>
                <w:rFonts w:ascii="仿宋" w:hAnsi="仿宋" w:eastAsia="仿宋"/>
                <w:color w:val="auto"/>
                <w:spacing w:val="-4"/>
                <w:sz w:val="32"/>
                <w:szCs w:val="32"/>
                <w:highlight w:val="none"/>
                <w:lang w:val="zh-CN"/>
              </w:rPr>
              <w:t>二等奖</w:t>
            </w:r>
          </w:p>
        </w:tc>
        <w:tc>
          <w:tcPr>
            <w:tcW w:w="2183" w:type="dxa"/>
            <w:noWrap w:val="0"/>
            <w:vAlign w:val="center"/>
          </w:tcPr>
          <w:p>
            <w:pPr>
              <w:spacing w:line="576" w:lineRule="exact"/>
              <w:jc w:val="center"/>
              <w:rPr>
                <w:rFonts w:ascii="仿宋" w:hAnsi="仿宋" w:eastAsia="仿宋"/>
                <w:color w:val="auto"/>
                <w:spacing w:val="-4"/>
                <w:sz w:val="32"/>
                <w:szCs w:val="32"/>
                <w:highlight w:val="none"/>
              </w:rPr>
            </w:pPr>
            <w:r>
              <w:rPr>
                <w:rFonts w:eastAsia="仿宋"/>
                <w:color w:val="auto"/>
                <w:spacing w:val="-4"/>
                <w:sz w:val="32"/>
                <w:szCs w:val="32"/>
                <w:highlight w:val="none"/>
                <w:lang w:val="zh-CN"/>
              </w:rPr>
              <w:t>30%</w:t>
            </w:r>
          </w:p>
        </w:tc>
        <w:tc>
          <w:tcPr>
            <w:tcW w:w="2516" w:type="dxa"/>
            <w:noWrap w:val="0"/>
            <w:vAlign w:val="center"/>
          </w:tcPr>
          <w:p>
            <w:pPr>
              <w:spacing w:line="576" w:lineRule="exact"/>
              <w:jc w:val="center"/>
              <w:rPr>
                <w:rFonts w:ascii="仿宋" w:hAnsi="仿宋" w:eastAsia="仿宋"/>
                <w:color w:val="auto"/>
                <w:spacing w:val="-4"/>
                <w:sz w:val="32"/>
                <w:szCs w:val="32"/>
                <w:highlight w:val="none"/>
              </w:rPr>
            </w:pPr>
            <w:r>
              <w:rPr>
                <w:rFonts w:eastAsia="仿宋"/>
                <w:color w:val="auto"/>
                <w:spacing w:val="-4"/>
                <w:sz w:val="32"/>
                <w:szCs w:val="32"/>
                <w:highlight w:val="none"/>
                <w:lang w:val="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continue"/>
            <w:noWrap w:val="0"/>
            <w:vAlign w:val="center"/>
          </w:tcPr>
          <w:p>
            <w:pPr>
              <w:spacing w:line="576" w:lineRule="exact"/>
              <w:jc w:val="center"/>
              <w:rPr>
                <w:rFonts w:ascii="仿宋" w:hAnsi="仿宋" w:eastAsia="仿宋"/>
                <w:color w:val="auto"/>
                <w:spacing w:val="-4"/>
                <w:sz w:val="32"/>
                <w:szCs w:val="32"/>
                <w:highlight w:val="none"/>
              </w:rPr>
            </w:pPr>
          </w:p>
        </w:tc>
        <w:tc>
          <w:tcPr>
            <w:tcW w:w="1743" w:type="dxa"/>
            <w:noWrap w:val="0"/>
            <w:vAlign w:val="center"/>
          </w:tcPr>
          <w:p>
            <w:pPr>
              <w:spacing w:line="576" w:lineRule="exact"/>
              <w:jc w:val="center"/>
              <w:rPr>
                <w:rFonts w:hint="eastAsia" w:ascii="仿宋" w:hAnsi="仿宋" w:eastAsia="仿宋"/>
                <w:color w:val="auto"/>
                <w:spacing w:val="-4"/>
                <w:sz w:val="32"/>
                <w:szCs w:val="32"/>
                <w:highlight w:val="none"/>
              </w:rPr>
            </w:pPr>
            <w:r>
              <w:rPr>
                <w:rFonts w:hint="eastAsia" w:ascii="仿宋" w:hAnsi="仿宋" w:eastAsia="仿宋"/>
                <w:color w:val="auto"/>
                <w:spacing w:val="-4"/>
                <w:sz w:val="32"/>
                <w:szCs w:val="32"/>
                <w:highlight w:val="none"/>
              </w:rPr>
              <w:t>三等奖</w:t>
            </w:r>
          </w:p>
        </w:tc>
        <w:tc>
          <w:tcPr>
            <w:tcW w:w="2183" w:type="dxa"/>
            <w:noWrap w:val="0"/>
            <w:vAlign w:val="center"/>
          </w:tcPr>
          <w:p>
            <w:pPr>
              <w:spacing w:line="576" w:lineRule="exact"/>
              <w:jc w:val="center"/>
              <w:rPr>
                <w:rFonts w:eastAsia="仿宋"/>
                <w:color w:val="auto"/>
                <w:spacing w:val="-4"/>
                <w:sz w:val="32"/>
                <w:szCs w:val="32"/>
                <w:highlight w:val="none"/>
              </w:rPr>
            </w:pPr>
            <w:r>
              <w:rPr>
                <w:rFonts w:eastAsia="仿宋"/>
                <w:color w:val="auto"/>
                <w:spacing w:val="-4"/>
                <w:sz w:val="32"/>
                <w:szCs w:val="32"/>
                <w:highlight w:val="none"/>
              </w:rPr>
              <w:t>50</w:t>
            </w:r>
            <w:r>
              <w:rPr>
                <w:rFonts w:hint="eastAsia" w:eastAsia="仿宋"/>
                <w:color w:val="auto"/>
                <w:spacing w:val="-4"/>
                <w:sz w:val="32"/>
                <w:szCs w:val="32"/>
                <w:highlight w:val="none"/>
              </w:rPr>
              <w:t>%</w:t>
            </w:r>
          </w:p>
        </w:tc>
        <w:tc>
          <w:tcPr>
            <w:tcW w:w="2516" w:type="dxa"/>
            <w:noWrap w:val="0"/>
            <w:vAlign w:val="center"/>
          </w:tcPr>
          <w:p>
            <w:pPr>
              <w:spacing w:line="576" w:lineRule="exact"/>
              <w:jc w:val="center"/>
              <w:rPr>
                <w:rFonts w:eastAsia="仿宋"/>
                <w:color w:val="auto"/>
                <w:spacing w:val="-4"/>
                <w:sz w:val="32"/>
                <w:szCs w:val="32"/>
                <w:highlight w:val="none"/>
              </w:rPr>
            </w:pPr>
            <w:r>
              <w:rPr>
                <w:rFonts w:eastAsia="仿宋"/>
                <w:color w:val="auto"/>
                <w:spacing w:val="-4"/>
                <w:sz w:val="32"/>
                <w:szCs w:val="32"/>
                <w:highlight w:val="none"/>
              </w:rPr>
              <w:t>3000</w:t>
            </w:r>
          </w:p>
        </w:tc>
      </w:tr>
    </w:tbl>
    <w:p>
      <w:pPr>
        <w:spacing w:line="600" w:lineRule="exact"/>
        <w:ind w:firstLine="640"/>
        <w:jc w:val="left"/>
        <w:rPr>
          <w:rFonts w:hint="eastAsia" w:ascii="仿宋_GB2312" w:hAnsi="仿宋_GB2312" w:eastAsia="仿宋_GB2312" w:cs="仿宋_GB2312"/>
          <w:color w:val="auto"/>
          <w:sz w:val="32"/>
          <w:szCs w:val="32"/>
          <w:highlight w:val="none"/>
          <w:shd w:val="clear" w:color="auto" w:fill="FFFFFF"/>
        </w:rPr>
      </w:pP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本办法规定的学业奖学金各等级比例、标准自</w:t>
      </w:r>
      <w:r>
        <w:rPr>
          <w:rFonts w:eastAsia="仿宋_GB2312"/>
          <w:color w:val="auto"/>
          <w:sz w:val="32"/>
          <w:szCs w:val="32"/>
          <w:highlight w:val="none"/>
          <w:shd w:val="clear" w:color="auto" w:fill="FFFFFF"/>
        </w:rPr>
        <w:t>2022</w:t>
      </w:r>
      <w:r>
        <w:rPr>
          <w:rFonts w:hint="eastAsia" w:ascii="仿宋_GB2312" w:hAnsi="仿宋_GB2312" w:eastAsia="仿宋_GB2312" w:cs="仿宋_GB2312"/>
          <w:color w:val="auto"/>
          <w:sz w:val="32"/>
          <w:szCs w:val="32"/>
          <w:highlight w:val="none"/>
          <w:shd w:val="clear" w:color="auto" w:fill="FFFFFF"/>
        </w:rPr>
        <w:t>级研究生开始执行。</w:t>
      </w:r>
      <w:r>
        <w:rPr>
          <w:rFonts w:eastAsia="仿宋_GB2312"/>
          <w:color w:val="auto"/>
          <w:sz w:val="32"/>
          <w:szCs w:val="32"/>
          <w:highlight w:val="none"/>
          <w:shd w:val="clear" w:color="auto" w:fill="FFFFFF"/>
        </w:rPr>
        <w:t>2021</w:t>
      </w:r>
      <w:r>
        <w:rPr>
          <w:rFonts w:hint="eastAsia" w:ascii="仿宋_GB2312" w:hAnsi="仿宋_GB2312" w:eastAsia="仿宋_GB2312" w:cs="仿宋_GB2312"/>
          <w:color w:val="auto"/>
          <w:sz w:val="32"/>
          <w:szCs w:val="32"/>
          <w:highlight w:val="none"/>
          <w:shd w:val="clear" w:color="auto" w:fill="FFFFFF"/>
        </w:rPr>
        <w:t>级及以前年级研究生学业奖学金各等级比例、标准按原办法保持不变。</w:t>
      </w:r>
    </w:p>
    <w:p>
      <w:pPr>
        <w:spacing w:line="600" w:lineRule="exact"/>
        <w:ind w:firstLine="640"/>
        <w:jc w:val="left"/>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各年级博士生、学术型硕士生、专业型硕士生奖学金名额分开计算</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博士生按照学校下发指标分配；硕士生指标按照以下公式：</w:t>
      </w:r>
    </w:p>
    <w:p>
      <w:pPr>
        <w:spacing w:line="600" w:lineRule="exact"/>
        <w:ind w:firstLine="640"/>
        <w:jc w:val="left"/>
        <w:rPr>
          <w:rFonts w:hint="default" w:ascii="仿宋_GB2312" w:hAnsi="仿宋_GB2312" w:eastAsia="宋体" w:cs="仿宋_GB2312"/>
          <w:color w:val="auto"/>
          <w:sz w:val="32"/>
          <w:szCs w:val="32"/>
          <w:highlight w:val="none"/>
          <w:shd w:val="clear" w:color="auto" w:fill="FFFFFF"/>
          <w:lang w:val="en-US" w:eastAsia="zh-CN"/>
        </w:rPr>
      </w:pPr>
      <m:oMathPara>
        <m:oMath>
          <m:r>
            <m:rPr>
              <m:sty m:val="p"/>
            </m:rPr>
            <w:rPr>
              <w:rFonts w:hint="eastAsia" w:ascii="Cambria Math" w:hAnsi="Cambria Math" w:eastAsia="仿宋_GB2312" w:cs="仿宋_GB2312"/>
              <w:color w:val="auto"/>
              <w:kern w:val="2"/>
              <w:sz w:val="32"/>
              <w:szCs w:val="32"/>
              <w:highlight w:val="none"/>
              <w:shd w:val="clear" w:color="auto" w:fill="FFFFFF"/>
              <w:lang w:val="en-US" w:eastAsia="zh-CN" w:bidi="ar-SA"/>
            </w:rPr>
            <m:t>指标=</m:t>
          </m:r>
          <m:f>
            <m:fPr>
              <m:ctrlPr>
                <w:rPr>
                  <w:rFonts w:hint="eastAsia" w:ascii="Cambria Math" w:hAnsi="Cambria Math" w:eastAsia="仿宋_GB2312" w:cs="仿宋_GB2312"/>
                  <w:color w:val="auto"/>
                  <w:kern w:val="2"/>
                  <w:sz w:val="32"/>
                  <w:szCs w:val="32"/>
                  <w:highlight w:val="none"/>
                  <w:shd w:val="clear" w:color="auto" w:fill="FFFFFF"/>
                  <w:lang w:val="en-US" w:eastAsia="zh-CN" w:bidi="ar-SA"/>
                </w:rPr>
              </m:ctrlPr>
            </m:fPr>
            <m:num>
              <m:r>
                <m:rPr>
                  <m:sty m:val="p"/>
                </m:rPr>
                <w:rPr>
                  <w:rFonts w:hint="eastAsia" w:ascii="Cambria Math" w:hAnsi="Cambria Math" w:eastAsia="仿宋_GB2312" w:cs="仿宋_GB2312"/>
                  <w:color w:val="auto"/>
                  <w:kern w:val="2"/>
                  <w:sz w:val="32"/>
                  <w:szCs w:val="32"/>
                  <w:highlight w:val="none"/>
                  <w:shd w:val="clear" w:color="auto" w:fill="FFFFFF"/>
                  <w:lang w:val="en-US" w:eastAsia="zh-CN" w:bidi="ar-SA"/>
                </w:rPr>
                <m:t>学硕（专硕）人数</m:t>
              </m:r>
              <m:ctrlPr>
                <w:rPr>
                  <w:rFonts w:hint="eastAsia" w:ascii="Cambria Math" w:hAnsi="Cambria Math" w:eastAsia="仿宋_GB2312" w:cs="仿宋_GB2312"/>
                  <w:color w:val="auto"/>
                  <w:kern w:val="2"/>
                  <w:sz w:val="32"/>
                  <w:szCs w:val="32"/>
                  <w:highlight w:val="none"/>
                  <w:shd w:val="clear" w:color="auto" w:fill="FFFFFF"/>
                  <w:lang w:val="en-US" w:eastAsia="zh-CN" w:bidi="ar-SA"/>
                </w:rPr>
              </m:ctrlPr>
            </m:num>
            <m:den>
              <m:r>
                <m:rPr>
                  <m:sty m:val="p"/>
                </m:rPr>
                <w:rPr>
                  <w:rFonts w:hint="eastAsia" w:ascii="Cambria Math" w:hAnsi="Cambria Math" w:eastAsia="仿宋_GB2312" w:cs="仿宋_GB2312"/>
                  <w:color w:val="auto"/>
                  <w:kern w:val="2"/>
                  <w:sz w:val="32"/>
                  <w:szCs w:val="32"/>
                  <w:highlight w:val="none"/>
                  <w:shd w:val="clear" w:color="auto" w:fill="FFFFFF"/>
                  <w:lang w:val="en-US" w:eastAsia="zh-CN" w:bidi="ar-SA"/>
                </w:rPr>
                <m:t>硕士人数</m:t>
              </m:r>
              <m:ctrlPr>
                <w:rPr>
                  <w:rFonts w:hint="eastAsia" w:ascii="Cambria Math" w:hAnsi="Cambria Math" w:eastAsia="仿宋_GB2312" w:cs="仿宋_GB2312"/>
                  <w:color w:val="auto"/>
                  <w:kern w:val="2"/>
                  <w:sz w:val="32"/>
                  <w:szCs w:val="32"/>
                  <w:highlight w:val="none"/>
                  <w:shd w:val="clear" w:color="auto" w:fill="FFFFFF"/>
                  <w:lang w:val="en-US" w:eastAsia="zh-CN" w:bidi="ar-SA"/>
                </w:rPr>
              </m:ctrlPr>
            </m:den>
          </m:f>
          <m:r>
            <m:rPr>
              <m:sty m:val="p"/>
            </m:rPr>
            <w:rPr>
              <w:rFonts w:ascii="Cambria Math" w:hAnsi="Cambria Math" w:cs="仿宋_GB2312"/>
              <w:color w:val="auto"/>
              <w:kern w:val="2"/>
              <w:sz w:val="32"/>
              <w:szCs w:val="32"/>
              <w:highlight w:val="none"/>
              <w:shd w:val="clear" w:color="auto" w:fill="FFFFFF"/>
              <w:lang w:val="en-US" w:bidi="ar-SA"/>
            </w:rPr>
            <m:t>×</m:t>
          </m:r>
          <m:r>
            <m:rPr>
              <m:sty m:val="p"/>
            </m:rPr>
            <w:rPr>
              <w:rFonts w:hint="eastAsia" w:ascii="Cambria Math" w:hAnsi="Cambria Math" w:cs="仿宋_GB2312"/>
              <w:color w:val="auto"/>
              <w:kern w:val="2"/>
              <w:sz w:val="32"/>
              <w:szCs w:val="32"/>
              <w:highlight w:val="none"/>
              <w:shd w:val="clear" w:color="auto" w:fill="FFFFFF"/>
              <w:lang w:val="en-US" w:eastAsia="zh-CN" w:bidi="ar-SA"/>
            </w:rPr>
            <m:t>硕士指标数</m:t>
          </m:r>
        </m:oMath>
      </m:oMathPara>
    </w:p>
    <w:p>
      <w:pPr>
        <w:spacing w:line="600" w:lineRule="exact"/>
        <w:jc w:val="left"/>
        <w:rPr>
          <w:rFonts w:hint="eastAsia" w:ascii="仿宋_GB2312" w:hAnsi="仿宋_GB2312" w:eastAsia="仿宋_GB2312" w:cs="仿宋_GB2312"/>
          <w:color w:val="auto"/>
          <w:sz w:val="32"/>
          <w:szCs w:val="32"/>
          <w:highlight w:val="none"/>
          <w:shd w:val="clear" w:color="auto" w:fill="FFFFFF"/>
          <w:lang w:val="en-US" w:eastAsia="zh-CN"/>
        </w:rPr>
      </w:pPr>
    </w:p>
    <w:p>
      <w:pPr>
        <w:spacing w:line="600" w:lineRule="exact"/>
        <w:jc w:val="left"/>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若</w:t>
      </w:r>
      <w:r>
        <w:rPr>
          <w:rFonts w:hint="eastAsia" w:ascii="仿宋_GB2312" w:hAnsi="仿宋_GB2312" w:eastAsia="仿宋_GB2312" w:cs="仿宋_GB2312"/>
          <w:color w:val="auto"/>
          <w:sz w:val="32"/>
          <w:szCs w:val="32"/>
          <w:highlight w:val="none"/>
          <w:shd w:val="clear" w:color="auto" w:fill="FFFFFF"/>
        </w:rPr>
        <w:t>学术型硕士生</w:t>
      </w:r>
      <w:r>
        <w:rPr>
          <w:rFonts w:hint="eastAsia" w:ascii="仿宋_GB2312" w:hAnsi="仿宋_GB2312" w:eastAsia="仿宋_GB2312" w:cs="仿宋_GB2312"/>
          <w:color w:val="auto"/>
          <w:sz w:val="32"/>
          <w:szCs w:val="32"/>
          <w:highlight w:val="none"/>
          <w:shd w:val="clear" w:color="auto" w:fill="FFFFFF"/>
          <w:lang w:val="en-US" w:eastAsia="zh-CN"/>
        </w:rPr>
        <w:t>与</w:t>
      </w:r>
      <w:r>
        <w:rPr>
          <w:rFonts w:hint="eastAsia" w:ascii="仿宋_GB2312" w:hAnsi="仿宋_GB2312" w:eastAsia="仿宋_GB2312" w:cs="仿宋_GB2312"/>
          <w:color w:val="auto"/>
          <w:sz w:val="32"/>
          <w:szCs w:val="32"/>
          <w:highlight w:val="none"/>
          <w:shd w:val="clear" w:color="auto" w:fill="FFFFFF"/>
        </w:rPr>
        <w:t>专业型硕士生奖学金名额</w:t>
      </w:r>
      <w:r>
        <w:rPr>
          <w:rFonts w:hint="eastAsia" w:ascii="仿宋_GB2312" w:hAnsi="仿宋_GB2312" w:eastAsia="仿宋_GB2312" w:cs="仿宋_GB2312"/>
          <w:color w:val="auto"/>
          <w:sz w:val="32"/>
          <w:szCs w:val="32"/>
          <w:highlight w:val="none"/>
          <w:shd w:val="clear" w:color="auto" w:fill="FFFFFF"/>
          <w:lang w:val="en-US" w:eastAsia="zh-CN"/>
        </w:rPr>
        <w:t>指标数仅小数点后三位不同，则服从大数为主原则。</w:t>
      </w:r>
    </w:p>
    <w:p>
      <w:pPr>
        <w:spacing w:line="600" w:lineRule="exact"/>
        <w:ind w:firstLine="640"/>
        <w:jc w:val="left"/>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当年度学校对奖励比例、标准有调整的，按照当年度学校文件执行。</w:t>
      </w:r>
    </w:p>
    <w:p>
      <w:pPr>
        <w:spacing w:line="600" w:lineRule="exact"/>
        <w:ind w:firstLine="640"/>
        <w:jc w:val="left"/>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第六条</w:t>
      </w:r>
      <w:r>
        <w:rPr>
          <w:rFonts w:hint="eastAsia" w:ascii="仿宋_GB2312" w:hAnsi="仿宋_GB2312" w:eastAsia="仿宋_GB2312" w:cs="仿宋_GB2312"/>
          <w:color w:val="auto"/>
          <w:sz w:val="32"/>
          <w:szCs w:val="32"/>
          <w:highlight w:val="none"/>
          <w:shd w:val="clear" w:color="auto" w:fill="FFFFFF"/>
        </w:rPr>
        <w:t xml:space="preserve">  研究生学业奖学金申请基本条件：</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w:t>
      </w:r>
      <w:r>
        <w:rPr>
          <w:rFonts w:ascii="仿宋_GB2312" w:hAnsi="仿宋_GB2312" w:eastAsia="仿宋_GB2312" w:cs="仿宋_GB2312"/>
          <w:color w:val="auto"/>
          <w:sz w:val="32"/>
          <w:szCs w:val="32"/>
          <w:highlight w:val="none"/>
          <w:shd w:val="clear" w:color="auto" w:fill="FFFFFF"/>
        </w:rPr>
        <w:t>具有中华人民共和国国籍；</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w:t>
      </w:r>
      <w:r>
        <w:rPr>
          <w:rFonts w:ascii="仿宋_GB2312" w:hAnsi="仿宋_GB2312" w:eastAsia="仿宋_GB2312" w:cs="仿宋_GB2312"/>
          <w:color w:val="auto"/>
          <w:sz w:val="32"/>
          <w:szCs w:val="32"/>
          <w:highlight w:val="none"/>
          <w:shd w:val="clear" w:color="auto" w:fill="FFFFFF"/>
        </w:rPr>
        <w:t>热爱社会主义祖国，拥护中国共产党的领导；</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w:t>
      </w:r>
      <w:r>
        <w:rPr>
          <w:rFonts w:ascii="仿宋_GB2312" w:hAnsi="仿宋_GB2312" w:eastAsia="仿宋_GB2312" w:cs="仿宋_GB2312"/>
          <w:color w:val="auto"/>
          <w:sz w:val="32"/>
          <w:szCs w:val="32"/>
          <w:highlight w:val="none"/>
          <w:shd w:val="clear" w:color="auto" w:fill="FFFFFF"/>
        </w:rPr>
        <w:t>遵守宪法和法律，遵守研究生培养单位规章制度；</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w:t>
      </w:r>
      <w:r>
        <w:rPr>
          <w:rFonts w:ascii="仿宋_GB2312" w:hAnsi="仿宋_GB2312" w:eastAsia="仿宋_GB2312" w:cs="仿宋_GB2312"/>
          <w:color w:val="auto"/>
          <w:sz w:val="32"/>
          <w:szCs w:val="32"/>
          <w:highlight w:val="none"/>
          <w:shd w:val="clear" w:color="auto" w:fill="FFFFFF"/>
        </w:rPr>
        <w:t>诚实守信，道德品质优良；</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（五）</w:t>
      </w:r>
      <w:r>
        <w:rPr>
          <w:rFonts w:ascii="仿宋_GB2312" w:hAnsi="仿宋_GB2312" w:eastAsia="仿宋_GB2312" w:cs="仿宋_GB2312"/>
          <w:color w:val="auto"/>
          <w:sz w:val="32"/>
          <w:szCs w:val="32"/>
          <w:highlight w:val="none"/>
          <w:shd w:val="clear" w:color="auto" w:fill="FFFFFF"/>
        </w:rPr>
        <w:t>积极参与科学研究和社会实践</w:t>
      </w:r>
      <w:r>
        <w:rPr>
          <w:rFonts w:hint="eastAsia" w:ascii="仿宋_GB2312" w:hAnsi="仿宋_GB2312" w:eastAsia="仿宋_GB2312" w:cs="仿宋_GB2312"/>
          <w:color w:val="auto"/>
          <w:sz w:val="32"/>
          <w:szCs w:val="32"/>
          <w:highlight w:val="none"/>
          <w:shd w:val="clear" w:color="auto" w:fill="FFFFFF"/>
        </w:rPr>
        <w:t>。</w:t>
      </w:r>
    </w:p>
    <w:p>
      <w:pPr>
        <w:spacing w:line="600" w:lineRule="exact"/>
        <w:ind w:firstLine="640"/>
        <w:jc w:val="left"/>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第七条</w:t>
      </w:r>
      <w:r>
        <w:rPr>
          <w:rFonts w:hint="eastAsia" w:ascii="仿宋_GB2312" w:hAnsi="仿宋_GB2312" w:eastAsia="仿宋_GB2312" w:cs="仿宋_GB2312"/>
          <w:color w:val="auto"/>
          <w:sz w:val="32"/>
          <w:szCs w:val="32"/>
          <w:highlight w:val="none"/>
          <w:shd w:val="clear" w:color="auto" w:fill="FFFFFF"/>
        </w:rPr>
        <w:t xml:space="preserve">  研究生学业奖学金申请条件：</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申请学业奖学金的学生，除具备第六条规定的基本条件外，须同时具备下列条件：</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（一）纳入全国研究生招生计划的全日制研究生；</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（二）在规定学制期内的全日制在读研究生；</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（三）有下列情况之一者不能申请：</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① 在学校规定时间内未完成注册手续；</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② 一年级研究生经查实在研究生入学考试中隐瞒事实或有虚假内容;</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③ 评审年度受到学校通报批评以上（含通报批评）处理或处分；</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④ 二年级及以上研究生参评学年度课程考试有一门以上（含一门）不及格；</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⑤ 休学、保留学籍及经学校批准复学不满半年；</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⑥ 申请评奖的研究成果存在明显争议；</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⑦ 因各种原因退学。</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（四）一年级研究生申请的具体条件：</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eastAsia="仿宋_GB2312"/>
          <w:color w:val="auto"/>
          <w:sz w:val="32"/>
          <w:szCs w:val="32"/>
          <w:highlight w:val="none"/>
          <w:shd w:val="clear" w:color="auto" w:fill="FFFFFF"/>
        </w:rPr>
        <w:t>1</w:t>
      </w:r>
      <w:r>
        <w:rPr>
          <w:rFonts w:ascii="仿宋_GB2312" w:hAnsi="仿宋_GB2312" w:eastAsia="仿宋_GB2312" w:cs="仿宋_GB2312"/>
          <w:color w:val="auto"/>
          <w:sz w:val="32"/>
          <w:szCs w:val="32"/>
          <w:highlight w:val="none"/>
          <w:shd w:val="clear" w:color="auto" w:fill="FFFFFF"/>
        </w:rPr>
        <w:t>.一年级博士研究生</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博生新生根据入学成绩及</w:t>
      </w:r>
      <w:r>
        <w:rPr>
          <w:rFonts w:hint="eastAsia" w:ascii="仿宋_GB2312" w:hAnsi="仿宋_GB2312" w:eastAsia="仿宋_GB2312" w:cs="仿宋_GB2312"/>
          <w:color w:val="auto"/>
          <w:sz w:val="32"/>
          <w:szCs w:val="32"/>
          <w:highlight w:val="none"/>
          <w:shd w:val="clear" w:color="auto" w:fill="FFFFFF"/>
          <w:lang w:val="en-US" w:eastAsia="zh-CN"/>
        </w:rPr>
        <w:t>硕士期间</w:t>
      </w:r>
      <w:r>
        <w:rPr>
          <w:rFonts w:ascii="仿宋_GB2312" w:hAnsi="仿宋_GB2312" w:eastAsia="仿宋_GB2312" w:cs="仿宋_GB2312"/>
          <w:color w:val="auto"/>
          <w:sz w:val="32"/>
          <w:szCs w:val="32"/>
          <w:highlight w:val="none"/>
          <w:shd w:val="clear" w:color="auto" w:fill="FFFFFF"/>
        </w:rPr>
        <w:t>各类成果</w:t>
      </w:r>
      <w:r>
        <w:rPr>
          <w:rFonts w:hint="eastAsia" w:ascii="仿宋_GB2312" w:hAnsi="仿宋_GB2312" w:eastAsia="仿宋_GB2312" w:cs="仿宋_GB2312"/>
          <w:color w:val="auto"/>
          <w:sz w:val="32"/>
          <w:szCs w:val="32"/>
          <w:highlight w:val="none"/>
          <w:shd w:val="clear" w:color="auto" w:fill="FFFFFF"/>
        </w:rPr>
        <w:t>根据本细则</w:t>
      </w:r>
      <w:r>
        <w:rPr>
          <w:rFonts w:ascii="仿宋_GB2312" w:hAnsi="仿宋_GB2312" w:eastAsia="仿宋_GB2312" w:cs="仿宋_GB2312"/>
          <w:color w:val="auto"/>
          <w:sz w:val="32"/>
          <w:szCs w:val="32"/>
          <w:highlight w:val="none"/>
          <w:shd w:val="clear" w:color="auto" w:fill="FFFFFF"/>
        </w:rPr>
        <w:t>进行评定，</w:t>
      </w:r>
      <w:r>
        <w:rPr>
          <w:rFonts w:hint="eastAsia" w:ascii="仿宋_GB2312" w:hAnsi="仿宋_GB2312" w:eastAsia="仿宋_GB2312" w:cs="仿宋_GB2312"/>
          <w:color w:val="auto"/>
          <w:sz w:val="32"/>
          <w:szCs w:val="32"/>
          <w:highlight w:val="none"/>
          <w:shd w:val="clear" w:color="auto" w:fill="FFFFFF"/>
        </w:rPr>
        <w:t>同等条件下</w:t>
      </w:r>
      <w:r>
        <w:rPr>
          <w:rFonts w:ascii="仿宋_GB2312" w:hAnsi="仿宋_GB2312" w:eastAsia="仿宋_GB2312" w:cs="仿宋_GB2312"/>
          <w:color w:val="auto"/>
          <w:sz w:val="32"/>
          <w:szCs w:val="32"/>
          <w:highlight w:val="none"/>
          <w:shd w:val="clear" w:color="auto" w:fill="FFFFFF"/>
        </w:rPr>
        <w:t xml:space="preserve">对科研能力强，在本学科领域发表过高水平论文或者有其他突出的科研成果、应用型成果的学生优先考虑。 </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eastAsia="仿宋_GB2312"/>
          <w:color w:val="auto"/>
          <w:sz w:val="32"/>
          <w:szCs w:val="32"/>
          <w:highlight w:val="none"/>
          <w:shd w:val="clear" w:color="auto" w:fill="FFFFFF"/>
        </w:rPr>
        <w:t>2</w:t>
      </w:r>
      <w:r>
        <w:rPr>
          <w:rFonts w:ascii="仿宋_GB2312" w:hAnsi="仿宋_GB2312" w:eastAsia="仿宋_GB2312" w:cs="仿宋_GB2312"/>
          <w:color w:val="auto"/>
          <w:sz w:val="32"/>
          <w:szCs w:val="32"/>
          <w:highlight w:val="none"/>
          <w:shd w:val="clear" w:color="auto" w:fill="FFFFFF"/>
        </w:rPr>
        <w:t>.一年级硕士研究生</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①硕士生新生中的推免生第一学年直接获得一等奖学金；</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②硕士生新生中的博士预备生在硕士在读阶段每一学年直接获得一等奖学金；</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③其他硕士新生根据入学成绩及</w:t>
      </w:r>
      <w:r>
        <w:rPr>
          <w:rFonts w:hint="eastAsia" w:ascii="仿宋_GB2312" w:hAnsi="仿宋_GB2312" w:eastAsia="仿宋_GB2312" w:cs="仿宋_GB2312"/>
          <w:color w:val="auto"/>
          <w:sz w:val="32"/>
          <w:szCs w:val="32"/>
          <w:highlight w:val="none"/>
          <w:shd w:val="clear" w:color="auto" w:fill="FFFFFF"/>
          <w:lang w:val="en-US" w:eastAsia="zh-CN"/>
        </w:rPr>
        <w:t>本科期间</w:t>
      </w:r>
      <w:r>
        <w:rPr>
          <w:rFonts w:ascii="仿宋_GB2312" w:hAnsi="仿宋_GB2312" w:eastAsia="仿宋_GB2312" w:cs="仿宋_GB2312"/>
          <w:color w:val="auto"/>
          <w:sz w:val="32"/>
          <w:szCs w:val="32"/>
          <w:highlight w:val="none"/>
          <w:shd w:val="clear" w:color="auto" w:fill="FFFFFF"/>
        </w:rPr>
        <w:t>各类成果</w:t>
      </w:r>
      <w:r>
        <w:rPr>
          <w:rFonts w:hint="eastAsia" w:ascii="仿宋_GB2312" w:hAnsi="仿宋_GB2312" w:eastAsia="仿宋_GB2312" w:cs="仿宋_GB2312"/>
          <w:color w:val="auto"/>
          <w:sz w:val="32"/>
          <w:szCs w:val="32"/>
          <w:highlight w:val="none"/>
          <w:shd w:val="clear" w:color="auto" w:fill="FFFFFF"/>
        </w:rPr>
        <w:t>根据本细则</w:t>
      </w:r>
      <w:r>
        <w:rPr>
          <w:rFonts w:ascii="仿宋_GB2312" w:hAnsi="仿宋_GB2312" w:eastAsia="仿宋_GB2312" w:cs="仿宋_GB2312"/>
          <w:color w:val="auto"/>
          <w:sz w:val="32"/>
          <w:szCs w:val="32"/>
          <w:highlight w:val="none"/>
          <w:shd w:val="clear" w:color="auto" w:fill="FFFFFF"/>
        </w:rPr>
        <w:t>进行评定</w:t>
      </w:r>
      <w:r>
        <w:rPr>
          <w:rFonts w:hint="eastAsia" w:ascii="仿宋_GB2312" w:hAnsi="仿宋_GB2312" w:eastAsia="仿宋_GB2312" w:cs="仿宋_GB2312"/>
          <w:color w:val="auto"/>
          <w:sz w:val="32"/>
          <w:szCs w:val="32"/>
          <w:highlight w:val="none"/>
          <w:shd w:val="clear" w:color="auto" w:fill="FFFFFF"/>
        </w:rPr>
        <w:t>。</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（五）二年级以上（含二年级）研究生申请具体条件：</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eastAsia="仿宋_GB2312"/>
          <w:color w:val="auto"/>
          <w:sz w:val="32"/>
          <w:szCs w:val="32"/>
          <w:highlight w:val="none"/>
          <w:shd w:val="clear" w:color="auto" w:fill="FFFFFF"/>
        </w:rPr>
        <w:t>1</w:t>
      </w:r>
      <w:r>
        <w:rPr>
          <w:rFonts w:ascii="仿宋_GB2312" w:hAnsi="仿宋_GB2312" w:eastAsia="仿宋_GB2312" w:cs="仿宋_GB2312"/>
          <w:color w:val="auto"/>
          <w:sz w:val="32"/>
          <w:szCs w:val="32"/>
          <w:highlight w:val="none"/>
          <w:shd w:val="clear" w:color="auto" w:fill="FFFFFF"/>
        </w:rPr>
        <w:t>.学习勤奋、学风严谨，修读完成培养计划的当学年课程，成绩优良，有一定的研究成果。</w:t>
      </w:r>
    </w:p>
    <w:p>
      <w:pPr>
        <w:spacing w:line="600" w:lineRule="exact"/>
        <w:ind w:firstLine="640"/>
        <w:jc w:val="left"/>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（六）对在思想品德方面存在问题的学生，应予以一票否决。</w:t>
      </w:r>
    </w:p>
    <w:p>
      <w:pPr>
        <w:spacing w:line="600" w:lineRule="exact"/>
        <w:ind w:firstLine="640" w:firstLineChars="20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 学业奖学金评审</w:t>
      </w:r>
    </w:p>
    <w:p>
      <w:pPr>
        <w:spacing w:line="600" w:lineRule="exact"/>
        <w:ind w:firstLine="643"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第八条</w:t>
      </w:r>
      <w:r>
        <w:rPr>
          <w:rFonts w:hint="eastAsia" w:ascii="仿宋_GB2312" w:hAnsi="仿宋_GB2312" w:eastAsia="仿宋_GB2312" w:cs="仿宋_GB2312"/>
          <w:color w:val="auto"/>
          <w:sz w:val="32"/>
          <w:szCs w:val="32"/>
          <w:highlight w:val="none"/>
          <w:shd w:val="clear" w:color="auto" w:fill="FFFFFF"/>
        </w:rPr>
        <w:t xml:space="preserve">  同一学年内，符合条件的研究生可同时申请并获得国家奖学金、学业奖学金。</w:t>
      </w:r>
    </w:p>
    <w:p>
      <w:pPr>
        <w:spacing w:line="600" w:lineRule="exact"/>
        <w:ind w:firstLine="643"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第九条</w:t>
      </w:r>
      <w:r>
        <w:rPr>
          <w:rFonts w:hint="eastAsia" w:ascii="仿宋_GB2312" w:hAnsi="仿宋_GB2312" w:eastAsia="仿宋_GB2312" w:cs="仿宋_GB2312"/>
          <w:color w:val="auto"/>
          <w:sz w:val="32"/>
          <w:szCs w:val="32"/>
          <w:highlight w:val="none"/>
          <w:shd w:val="clear" w:color="auto" w:fill="FFFFFF"/>
        </w:rPr>
        <w:t xml:space="preserve">  学业奖学金每学年评审一次。</w:t>
      </w:r>
    </w:p>
    <w:p>
      <w:pPr>
        <w:spacing w:line="600" w:lineRule="exact"/>
        <w:ind w:firstLine="643"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第十条</w:t>
      </w:r>
      <w:r>
        <w:rPr>
          <w:rFonts w:hint="eastAsia" w:ascii="仿宋_GB2312" w:hAnsi="仿宋_GB2312" w:eastAsia="仿宋_GB2312" w:cs="仿宋_GB2312"/>
          <w:color w:val="auto"/>
          <w:sz w:val="32"/>
          <w:szCs w:val="32"/>
          <w:highlight w:val="none"/>
          <w:shd w:val="clear" w:color="auto" w:fill="FFFFFF"/>
        </w:rPr>
        <w:t xml:space="preserve">  评审程序</w:t>
      </w:r>
    </w:p>
    <w:p>
      <w:pPr>
        <w:spacing w:line="60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（一）成立班级（年级）学业奖学金评审小组</w:t>
      </w:r>
    </w:p>
    <w:p>
      <w:pPr>
        <w:spacing w:line="60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评审小组9人以内，人数为奇数。</w:t>
      </w:r>
      <w:r>
        <w:rPr>
          <w:rFonts w:ascii="仿宋_GB2312" w:hAnsi="仿宋_GB2312" w:eastAsia="仿宋_GB2312" w:cs="仿宋_GB2312"/>
          <w:color w:val="auto"/>
          <w:sz w:val="32"/>
          <w:szCs w:val="32"/>
          <w:highlight w:val="none"/>
          <w:shd w:val="clear" w:color="auto" w:fill="FFFFFF"/>
        </w:rPr>
        <w:t>班级（年级）评审工作小组由班主任（辅导员）担任组长，成员由班长、团支书、学生代表组成</w:t>
      </w:r>
      <w:r>
        <w:rPr>
          <w:rFonts w:hint="eastAsia" w:ascii="仿宋_GB2312" w:hAnsi="仿宋_GB2312" w:eastAsia="仿宋_GB2312" w:cs="仿宋_GB2312"/>
          <w:color w:val="auto"/>
          <w:sz w:val="32"/>
          <w:szCs w:val="32"/>
          <w:highlight w:val="none"/>
          <w:shd w:val="clear" w:color="auto" w:fill="FFFFFF"/>
        </w:rPr>
        <w:t>。</w:t>
      </w:r>
    </w:p>
    <w:p>
      <w:pPr>
        <w:spacing w:line="60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（二）学生自行申请</w:t>
      </w:r>
    </w:p>
    <w:p>
      <w:pPr>
        <w:spacing w:line="600" w:lineRule="exact"/>
        <w:ind w:firstLine="640" w:firstLineChars="200"/>
        <w:jc w:val="left"/>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由研究生本人在正常学制年限内，根据当年度通知要求向学院提出申请。</w:t>
      </w:r>
    </w:p>
    <w:p>
      <w:pPr>
        <w:spacing w:line="60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（三）学业奖学金等次确定</w:t>
      </w:r>
    </w:p>
    <w:p>
      <w:pPr>
        <w:spacing w:line="600" w:lineRule="exact"/>
        <w:ind w:firstLine="640" w:firstLineChars="200"/>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学院评审小组按照公开、公平、公正、择优的原则，对申请学生进行初步审查和评审，并将</w:t>
      </w:r>
      <w:r>
        <w:rPr>
          <w:rFonts w:hint="eastAsia" w:ascii="仿宋_GB2312" w:hAnsi="仿宋_GB2312" w:eastAsia="仿宋_GB2312" w:cs="仿宋_GB2312"/>
          <w:color w:val="auto"/>
          <w:sz w:val="32"/>
          <w:szCs w:val="32"/>
          <w:highlight w:val="none"/>
          <w:shd w:val="clear" w:color="auto" w:fill="FFFFFF"/>
        </w:rPr>
        <w:t>拟定级</w:t>
      </w:r>
      <w:r>
        <w:rPr>
          <w:rFonts w:ascii="仿宋_GB2312" w:hAnsi="仿宋_GB2312" w:eastAsia="仿宋_GB2312" w:cs="仿宋_GB2312"/>
          <w:color w:val="auto"/>
          <w:sz w:val="32"/>
          <w:szCs w:val="32"/>
          <w:highlight w:val="none"/>
          <w:shd w:val="clear" w:color="auto" w:fill="FFFFFF"/>
        </w:rPr>
        <w:t>名单在学院公示</w:t>
      </w:r>
      <w:r>
        <w:rPr>
          <w:rFonts w:eastAsia="仿宋_GB2312"/>
          <w:color w:val="auto"/>
          <w:sz w:val="32"/>
          <w:szCs w:val="32"/>
          <w:highlight w:val="none"/>
          <w:shd w:val="clear" w:color="auto" w:fill="FFFFFF"/>
        </w:rPr>
        <w:t>3</w:t>
      </w:r>
      <w:r>
        <w:rPr>
          <w:rFonts w:ascii="仿宋_GB2312" w:hAnsi="仿宋_GB2312" w:eastAsia="仿宋_GB2312" w:cs="仿宋_GB2312"/>
          <w:color w:val="auto"/>
          <w:sz w:val="32"/>
          <w:szCs w:val="32"/>
          <w:highlight w:val="none"/>
          <w:shd w:val="clear" w:color="auto" w:fill="FFFFFF"/>
        </w:rPr>
        <w:t>个工作日，无异议后报学校审核。</w:t>
      </w:r>
    </w:p>
    <w:p>
      <w:pPr>
        <w:spacing w:line="600" w:lineRule="exact"/>
        <w:ind w:firstLine="643"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 xml:space="preserve">第十一条  </w:t>
      </w:r>
      <w:r>
        <w:rPr>
          <w:rFonts w:hint="eastAsia" w:ascii="仿宋_GB2312" w:hAnsi="仿宋_GB2312" w:eastAsia="仿宋_GB2312" w:cs="仿宋_GB2312"/>
          <w:color w:val="auto"/>
          <w:sz w:val="32"/>
          <w:szCs w:val="32"/>
          <w:highlight w:val="none"/>
          <w:shd w:val="clear" w:color="auto" w:fill="FFFFFF"/>
        </w:rPr>
        <w:t>对评审过程有异议的学生，可在学院公示期间向学院评审工作小组提出投诉或举报，学院评审工作小组在</w:t>
      </w:r>
      <w:r>
        <w:rPr>
          <w:rFonts w:eastAsia="仿宋_GB2312"/>
          <w:color w:val="auto"/>
          <w:sz w:val="32"/>
          <w:szCs w:val="32"/>
          <w:highlight w:val="none"/>
          <w:shd w:val="clear" w:color="auto" w:fill="FFFFFF"/>
        </w:rPr>
        <w:t>3</w:t>
      </w:r>
      <w:r>
        <w:rPr>
          <w:rFonts w:hint="eastAsia" w:ascii="仿宋_GB2312" w:hAnsi="仿宋_GB2312" w:eastAsia="仿宋_GB2312" w:cs="仿宋_GB2312"/>
          <w:color w:val="auto"/>
          <w:sz w:val="32"/>
          <w:szCs w:val="32"/>
          <w:highlight w:val="none"/>
          <w:shd w:val="clear" w:color="auto" w:fill="FFFFFF"/>
        </w:rPr>
        <w:t>个工作日内予以答复。</w:t>
      </w:r>
    </w:p>
    <w:p>
      <w:pPr>
        <w:spacing w:line="600" w:lineRule="exact"/>
        <w:ind w:firstLine="643"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 xml:space="preserve">第十二条  </w:t>
      </w:r>
      <w:r>
        <w:rPr>
          <w:rFonts w:hint="eastAsia" w:ascii="仿宋_GB2312" w:hAnsi="仿宋_GB2312" w:eastAsia="仿宋_GB2312" w:cs="仿宋_GB2312"/>
          <w:color w:val="auto"/>
          <w:sz w:val="32"/>
          <w:szCs w:val="32"/>
          <w:highlight w:val="none"/>
          <w:shd w:val="clear" w:color="auto" w:fill="FFFFFF"/>
        </w:rPr>
        <w:t>评审过程中及评审结束后，发现参评研究生如有抄袭剽窃、弄虚作假等学术不端行为，经查证属实的，取消当年评优评奖资格并追回所发荣誉证书和奖金，情节严重者，依据《华南农业大学学生违纪处分实施办法》给予处分。</w:t>
      </w:r>
    </w:p>
    <w:p>
      <w:pPr>
        <w:spacing w:line="600" w:lineRule="exact"/>
        <w:ind w:firstLine="640"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 xml:space="preserve"> </w:t>
      </w:r>
    </w:p>
    <w:p>
      <w:pPr>
        <w:spacing w:line="600" w:lineRule="exact"/>
        <w:ind w:firstLine="640" w:firstLineChars="200"/>
        <w:jc w:val="center"/>
        <w:rPr>
          <w:rFonts w:ascii="黑体" w:hAnsi="黑体" w:eastAsia="黑体" w:cs="黑体"/>
          <w:bCs/>
          <w:color w:val="auto"/>
          <w:sz w:val="32"/>
          <w:szCs w:val="32"/>
          <w:highlight w:val="none"/>
          <w:shd w:val="clear" w:color="auto" w:fill="FFFFFF"/>
        </w:rPr>
      </w:pPr>
      <w:r>
        <w:rPr>
          <w:rFonts w:hint="eastAsia" w:ascii="黑体" w:hAnsi="黑体" w:eastAsia="黑体" w:cs="黑体"/>
          <w:bCs/>
          <w:color w:val="auto"/>
          <w:sz w:val="32"/>
          <w:szCs w:val="32"/>
          <w:highlight w:val="none"/>
          <w:shd w:val="clear" w:color="auto" w:fill="FFFFFF"/>
        </w:rPr>
        <w:t>第六章    考查方式</w:t>
      </w:r>
    </w:p>
    <w:p>
      <w:pPr>
        <w:spacing w:line="600" w:lineRule="exact"/>
        <w:ind w:firstLine="643" w:firstLineChars="200"/>
        <w:rPr>
          <w:rFonts w:hint="eastAsia" w:ascii="仿宋_GB2312" w:hAnsi="仿宋_GB2312" w:eastAsia="仿宋_GB2312" w:cs="仿宋_GB2312"/>
          <w:bCs/>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 xml:space="preserve">第十三条 </w:t>
      </w:r>
      <w:r>
        <w:rPr>
          <w:rFonts w:hint="eastAsia" w:ascii="黑体" w:hAnsi="黑体" w:eastAsia="黑体" w:cs="黑体"/>
          <w:bCs/>
          <w:color w:val="auto"/>
          <w:sz w:val="32"/>
          <w:szCs w:val="32"/>
          <w:highlight w:val="none"/>
          <w:shd w:val="clear" w:color="auto" w:fill="FFFFFF"/>
        </w:rPr>
        <w:t xml:space="preserve"> </w:t>
      </w:r>
      <w:r>
        <w:rPr>
          <w:rFonts w:hint="eastAsia" w:ascii="仿宋_GB2312" w:hAnsi="仿宋_GB2312" w:eastAsia="仿宋_GB2312" w:cs="仿宋_GB2312"/>
          <w:bCs/>
          <w:color w:val="auto"/>
          <w:sz w:val="32"/>
          <w:szCs w:val="32"/>
          <w:highlight w:val="none"/>
          <w:shd w:val="clear" w:color="auto" w:fill="FFFFFF"/>
        </w:rPr>
        <w:t>考查项目</w:t>
      </w:r>
    </w:p>
    <w:p>
      <w:pPr>
        <w:spacing w:line="600" w:lineRule="exact"/>
        <w:ind w:firstLine="640" w:firstLineChars="200"/>
        <w:rPr>
          <w:rFonts w:hint="eastAsia" w:ascii="仿宋_GB2312" w:hAnsi="仿宋_GB2312" w:eastAsia="仿宋_GB2312" w:cs="仿宋_GB2312"/>
          <w:bCs/>
          <w:color w:val="auto"/>
          <w:sz w:val="32"/>
          <w:szCs w:val="32"/>
          <w:highlight w:val="none"/>
          <w:shd w:val="clear" w:color="auto" w:fill="FFFFFF"/>
        </w:rPr>
      </w:pPr>
      <w:r>
        <w:rPr>
          <w:rFonts w:hint="eastAsia" w:ascii="仿宋_GB2312" w:hAnsi="仿宋_GB2312" w:eastAsia="仿宋_GB2312" w:cs="仿宋_GB2312"/>
          <w:bCs/>
          <w:color w:val="auto"/>
          <w:sz w:val="32"/>
          <w:szCs w:val="32"/>
          <w:highlight w:val="none"/>
          <w:shd w:val="clear" w:color="auto" w:fill="FFFFFF"/>
        </w:rPr>
        <w:t>（一）考查项目指引</w:t>
      </w:r>
    </w:p>
    <w:p>
      <w:pPr>
        <w:spacing w:line="600" w:lineRule="exact"/>
        <w:ind w:firstLine="640" w:firstLineChars="200"/>
        <w:rPr>
          <w:rFonts w:hint="eastAsia" w:ascii="仿宋_GB2312" w:hAnsi="仿宋_GB2312" w:eastAsia="仿宋_GB2312" w:cs="仿宋_GB2312"/>
          <w:bCs/>
          <w:color w:val="auto"/>
          <w:sz w:val="32"/>
          <w:szCs w:val="32"/>
          <w:highlight w:val="none"/>
          <w:shd w:val="clear" w:color="auto" w:fill="FFFFFF"/>
        </w:rPr>
      </w:pPr>
      <w:r>
        <w:rPr>
          <w:rFonts w:hint="eastAsia" w:ascii="仿宋_GB2312" w:hAnsi="仿宋_GB2312" w:eastAsia="仿宋_GB2312" w:cs="仿宋_GB2312"/>
          <w:bCs/>
          <w:color w:val="auto"/>
          <w:sz w:val="32"/>
          <w:szCs w:val="32"/>
          <w:highlight w:val="none"/>
          <w:shd w:val="clear" w:color="auto" w:fill="FFFFFF"/>
        </w:rPr>
        <w:t>评审项目包括学习成绩、思想道德品质、科研成果、社会实践等四方面，各类型研究生考查内容如表</w:t>
      </w:r>
      <w:r>
        <w:rPr>
          <w:rFonts w:eastAsia="仿宋_GB2312"/>
          <w:bCs/>
          <w:color w:val="auto"/>
          <w:sz w:val="32"/>
          <w:szCs w:val="32"/>
          <w:highlight w:val="none"/>
          <w:shd w:val="clear" w:color="auto" w:fill="FFFFFF"/>
        </w:rPr>
        <w:t>2</w:t>
      </w:r>
      <w:r>
        <w:rPr>
          <w:rFonts w:hint="eastAsia" w:ascii="仿宋_GB2312" w:hAnsi="仿宋_GB2312" w:eastAsia="仿宋_GB2312" w:cs="仿宋_GB2312"/>
          <w:bCs/>
          <w:color w:val="auto"/>
          <w:sz w:val="32"/>
          <w:szCs w:val="32"/>
          <w:highlight w:val="none"/>
          <w:shd w:val="clear" w:color="auto" w:fill="FFFFFF"/>
        </w:rPr>
        <w:t>所示。</w:t>
      </w:r>
    </w:p>
    <w:p>
      <w:pPr>
        <w:spacing w:line="600" w:lineRule="exact"/>
        <w:ind w:firstLine="640" w:firstLineChars="200"/>
        <w:rPr>
          <w:rFonts w:hint="eastAsia" w:ascii="仿宋_GB2312" w:hAnsi="仿宋_GB2312" w:eastAsia="仿宋_GB2312" w:cs="仿宋_GB2312"/>
          <w:bCs/>
          <w:color w:val="auto"/>
          <w:sz w:val="32"/>
          <w:szCs w:val="32"/>
          <w:highlight w:val="none"/>
          <w:shd w:val="clear" w:color="auto" w:fill="FFFFFF"/>
        </w:rPr>
      </w:pPr>
    </w:p>
    <w:p>
      <w:pPr>
        <w:spacing w:line="600" w:lineRule="exact"/>
        <w:ind w:firstLine="640" w:firstLineChars="200"/>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w:t>
      </w:r>
      <w:r>
        <w:rPr>
          <w:rFonts w:eastAsia="仿宋_GB2312"/>
          <w:color w:val="auto"/>
          <w:sz w:val="32"/>
          <w:szCs w:val="32"/>
          <w:highlight w:val="none"/>
        </w:rPr>
        <w:t>2</w:t>
      </w:r>
      <w:r>
        <w:rPr>
          <w:rFonts w:hint="eastAsia" w:ascii="仿宋_GB2312" w:hAnsi="仿宋_GB2312" w:eastAsia="仿宋_GB2312" w:cs="仿宋_GB2312"/>
          <w:color w:val="auto"/>
          <w:sz w:val="32"/>
          <w:szCs w:val="32"/>
          <w:highlight w:val="none"/>
        </w:rPr>
        <w:t xml:space="preserve"> 评审项目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310" w:type="dxa"/>
            <w:noWrap w:val="0"/>
            <w:vAlign w:val="center"/>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一年级研究生</w:t>
            </w:r>
          </w:p>
        </w:tc>
        <w:tc>
          <w:tcPr>
            <w:tcW w:w="6870" w:type="dxa"/>
            <w:noWrap w:val="0"/>
            <w:vAlign w:val="center"/>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第十四条（一）（四）（六）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2310" w:type="dxa"/>
            <w:noWrap w:val="0"/>
            <w:vAlign w:val="center"/>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二年级（含）以上研究生</w:t>
            </w:r>
          </w:p>
        </w:tc>
        <w:tc>
          <w:tcPr>
            <w:tcW w:w="6870" w:type="dxa"/>
            <w:noWrap w:val="0"/>
            <w:vAlign w:val="center"/>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第十四条（二）（三）（四）（五）</w:t>
            </w:r>
          </w:p>
        </w:tc>
      </w:tr>
    </w:tbl>
    <w:p>
      <w:pPr>
        <w:spacing w:line="600" w:lineRule="exact"/>
        <w:jc w:val="left"/>
        <w:rPr>
          <w:rFonts w:ascii="仿宋_GB2312" w:hAnsi="仿宋_GB2312" w:eastAsia="仿宋_GB2312" w:cs="仿宋_GB2312"/>
          <w:color w:val="auto"/>
          <w:sz w:val="32"/>
          <w:szCs w:val="32"/>
          <w:highlight w:val="none"/>
        </w:rPr>
      </w:pPr>
    </w:p>
    <w:p>
      <w:pPr>
        <w:spacing w:line="600" w:lineRule="exact"/>
        <w:ind w:left="420" w:leftChars="200"/>
        <w:rPr>
          <w:rFonts w:hint="eastAsia" w:ascii="仿宋_GB2312" w:hAnsi="仿宋_GB2312" w:eastAsia="仿宋_GB2312" w:cs="仿宋_GB2312"/>
          <w:bCs/>
          <w:color w:val="auto"/>
          <w:sz w:val="32"/>
          <w:szCs w:val="32"/>
          <w:highlight w:val="none"/>
          <w:shd w:val="clear" w:color="auto" w:fill="FFFFFF"/>
        </w:rPr>
      </w:pPr>
      <w:r>
        <w:rPr>
          <w:rFonts w:hint="eastAsia" w:ascii="仿宋_GB2312" w:hAnsi="仿宋_GB2312" w:eastAsia="仿宋_GB2312" w:cs="仿宋_GB2312"/>
          <w:bCs/>
          <w:color w:val="auto"/>
          <w:sz w:val="32"/>
          <w:szCs w:val="32"/>
          <w:highlight w:val="none"/>
          <w:shd w:val="clear" w:color="auto" w:fill="FFFFFF"/>
        </w:rPr>
        <w:t>（二）博士生学业奖学金评选量化表</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如表3所示，适用于二年级（含）以上博士研究生。</w:t>
      </w:r>
    </w:p>
    <w:p>
      <w:pPr>
        <w:spacing w:line="600" w:lineRule="exact"/>
        <w:ind w:firstLine="640" w:firstLineChars="200"/>
        <w:rPr>
          <w:rFonts w:ascii="仿宋_GB2312" w:hAnsi="仿宋_GB2312" w:eastAsia="仿宋_GB2312" w:cs="仿宋_GB2312"/>
          <w:color w:val="auto"/>
          <w:sz w:val="32"/>
          <w:szCs w:val="32"/>
          <w:highlight w:val="none"/>
        </w:rPr>
      </w:pPr>
    </w:p>
    <w:p>
      <w:pPr>
        <w:spacing w:line="600" w:lineRule="exact"/>
        <w:ind w:firstLine="640" w:firstLineChars="200"/>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表3  博士生学业奖学金评选量化表</w:t>
      </w:r>
    </w:p>
    <w:tbl>
      <w:tblPr>
        <w:tblStyle w:val="4"/>
        <w:tblW w:w="4732" w:type="pct"/>
        <w:jc w:val="center"/>
        <w:tblLayout w:type="autofit"/>
        <w:tblCellMar>
          <w:top w:w="0" w:type="dxa"/>
          <w:left w:w="10" w:type="dxa"/>
          <w:bottom w:w="0" w:type="dxa"/>
          <w:right w:w="10" w:type="dxa"/>
        </w:tblCellMar>
      </w:tblPr>
      <w:tblGrid>
        <w:gridCol w:w="536"/>
        <w:gridCol w:w="1844"/>
        <w:gridCol w:w="6946"/>
      </w:tblGrid>
      <w:tr>
        <w:tblPrEx>
          <w:tblCellMar>
            <w:top w:w="0" w:type="dxa"/>
            <w:left w:w="10" w:type="dxa"/>
            <w:bottom w:w="0" w:type="dxa"/>
            <w:right w:w="10" w:type="dxa"/>
          </w:tblCellMar>
        </w:tblPrEx>
        <w:trPr>
          <w:jc w:val="center"/>
        </w:trPr>
        <w:tc>
          <w:tcPr>
            <w:tcW w:w="1276" w:type="pct"/>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w:t>
            </w:r>
          </w:p>
        </w:tc>
        <w:tc>
          <w:tcPr>
            <w:tcW w:w="3723" w:type="pct"/>
            <w:tcBorders>
              <w:top w:val="single" w:color="000000" w:sz="4"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分值</w:t>
            </w:r>
          </w:p>
        </w:tc>
      </w:tr>
      <w:tr>
        <w:tblPrEx>
          <w:tblCellMar>
            <w:top w:w="0" w:type="dxa"/>
            <w:left w:w="10" w:type="dxa"/>
            <w:bottom w:w="0" w:type="dxa"/>
            <w:right w:w="10" w:type="dxa"/>
          </w:tblCellMar>
        </w:tblPrEx>
        <w:trPr>
          <w:trHeight w:val="1240" w:hRule="atLeast"/>
          <w:jc w:val="center"/>
        </w:trPr>
        <w:tc>
          <w:tcPr>
            <w:tcW w:w="1276" w:type="pct"/>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学习成绩（A）</w:t>
            </w:r>
          </w:p>
        </w:tc>
        <w:tc>
          <w:tcPr>
            <w:tcW w:w="3723" w:type="pct"/>
            <w:tcBorders>
              <w:top w:val="single" w:color="000000" w:sz="4"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评优年度范围属于一年级的满分</w:t>
            </w:r>
            <w:r>
              <w:rPr>
                <w:rFonts w:eastAsia="仿宋_GB2312"/>
                <w:color w:val="auto"/>
                <w:sz w:val="32"/>
                <w:szCs w:val="32"/>
                <w:highlight w:val="none"/>
              </w:rPr>
              <w:t>5</w:t>
            </w:r>
            <w:r>
              <w:rPr>
                <w:rFonts w:hint="eastAsia" w:ascii="仿宋_GB2312" w:hAnsi="仿宋_GB2312" w:eastAsia="仿宋_GB2312" w:cs="仿宋_GB2312"/>
                <w:color w:val="auto"/>
                <w:sz w:val="32"/>
                <w:szCs w:val="32"/>
                <w:highlight w:val="none"/>
              </w:rPr>
              <w:t>分；</w:t>
            </w:r>
          </w:p>
          <w:p>
            <w:pPr>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评定年度范围属于二年级的该项不计分；</w:t>
            </w:r>
          </w:p>
        </w:tc>
      </w:tr>
      <w:tr>
        <w:tblPrEx>
          <w:tblCellMar>
            <w:top w:w="0" w:type="dxa"/>
            <w:left w:w="10" w:type="dxa"/>
            <w:bottom w:w="0" w:type="dxa"/>
            <w:right w:w="10" w:type="dxa"/>
          </w:tblCellMar>
        </w:tblPrEx>
        <w:trPr>
          <w:jc w:val="center"/>
        </w:trPr>
        <w:tc>
          <w:tcPr>
            <w:tcW w:w="1276" w:type="pct"/>
            <w:gridSpan w:val="2"/>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思想道德品质</w:t>
            </w:r>
          </w:p>
        </w:tc>
        <w:tc>
          <w:tcPr>
            <w:tcW w:w="3723"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满分</w:t>
            </w:r>
            <w:r>
              <w:rPr>
                <w:rFonts w:eastAsia="仿宋_GB2312"/>
                <w:color w:val="auto"/>
                <w:sz w:val="32"/>
                <w:szCs w:val="32"/>
                <w:highlight w:val="none"/>
              </w:rPr>
              <w:t>15</w:t>
            </w:r>
            <w:r>
              <w:rPr>
                <w:rFonts w:hint="eastAsia" w:ascii="仿宋_GB2312" w:hAnsi="仿宋_GB2312" w:eastAsia="仿宋_GB2312" w:cs="仿宋_GB2312"/>
                <w:color w:val="auto"/>
                <w:sz w:val="32"/>
                <w:szCs w:val="32"/>
                <w:highlight w:val="none"/>
              </w:rPr>
              <w:t>分</w:t>
            </w:r>
          </w:p>
        </w:tc>
      </w:tr>
      <w:tr>
        <w:tblPrEx>
          <w:tblCellMar>
            <w:top w:w="0" w:type="dxa"/>
            <w:left w:w="10" w:type="dxa"/>
            <w:bottom w:w="0" w:type="dxa"/>
            <w:right w:w="10" w:type="dxa"/>
          </w:tblCellMar>
        </w:tblPrEx>
        <w:trPr>
          <w:jc w:val="center"/>
        </w:trPr>
        <w:tc>
          <w:tcPr>
            <w:tcW w:w="287" w:type="pct"/>
            <w:vMerge w:val="restart"/>
            <w:tcBorders>
              <w:top w:val="single" w:color="000000" w:sz="6" w:space="0"/>
              <w:left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科研成果</w:t>
            </w:r>
          </w:p>
        </w:tc>
        <w:tc>
          <w:tcPr>
            <w:tcW w:w="988" w:type="pct"/>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科学研究</w:t>
            </w:r>
          </w:p>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（B）</w:t>
            </w:r>
          </w:p>
        </w:tc>
        <w:tc>
          <w:tcPr>
            <w:tcW w:w="3723"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满分</w:t>
            </w:r>
            <w:r>
              <w:rPr>
                <w:rFonts w:eastAsia="仿宋_GB2312"/>
                <w:color w:val="auto"/>
                <w:sz w:val="32"/>
                <w:szCs w:val="32"/>
                <w:highlight w:val="none"/>
              </w:rPr>
              <w:t>50</w:t>
            </w:r>
            <w:r>
              <w:rPr>
                <w:rFonts w:hint="eastAsia" w:ascii="仿宋_GB2312" w:hAnsi="仿宋_GB2312" w:eastAsia="仿宋_GB2312" w:cs="仿宋_GB2312"/>
                <w:color w:val="auto"/>
                <w:sz w:val="32"/>
                <w:szCs w:val="32"/>
                <w:highlight w:val="none"/>
              </w:rPr>
              <w:t>分</w:t>
            </w:r>
          </w:p>
        </w:tc>
      </w:tr>
      <w:tr>
        <w:tblPrEx>
          <w:tblCellMar>
            <w:top w:w="0" w:type="dxa"/>
            <w:left w:w="10" w:type="dxa"/>
            <w:bottom w:w="0" w:type="dxa"/>
            <w:right w:w="10" w:type="dxa"/>
          </w:tblCellMar>
        </w:tblPrEx>
        <w:trPr>
          <w:jc w:val="center"/>
        </w:trPr>
        <w:tc>
          <w:tcPr>
            <w:tcW w:w="287" w:type="pct"/>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p>
        </w:tc>
        <w:tc>
          <w:tcPr>
            <w:tcW w:w="988" w:type="pct"/>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科技创新</w:t>
            </w:r>
          </w:p>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（C）</w:t>
            </w:r>
          </w:p>
        </w:tc>
        <w:tc>
          <w:tcPr>
            <w:tcW w:w="3723"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评优年度范围属于一年级的满分</w:t>
            </w:r>
            <w:r>
              <w:rPr>
                <w:rFonts w:eastAsia="仿宋_GB2312"/>
                <w:color w:val="auto"/>
                <w:sz w:val="32"/>
                <w:szCs w:val="32"/>
                <w:highlight w:val="none"/>
              </w:rPr>
              <w:t>20</w:t>
            </w:r>
            <w:r>
              <w:rPr>
                <w:rFonts w:hint="eastAsia" w:ascii="仿宋_GB2312" w:hAnsi="仿宋_GB2312" w:eastAsia="仿宋_GB2312" w:cs="仿宋_GB2312"/>
                <w:color w:val="auto"/>
                <w:sz w:val="32"/>
                <w:szCs w:val="32"/>
                <w:highlight w:val="none"/>
              </w:rPr>
              <w:t>分</w:t>
            </w:r>
          </w:p>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评优年度范围属于二年级的满分</w:t>
            </w:r>
            <w:r>
              <w:rPr>
                <w:rFonts w:eastAsia="仿宋_GB2312"/>
                <w:color w:val="auto"/>
                <w:sz w:val="32"/>
                <w:szCs w:val="32"/>
                <w:highlight w:val="none"/>
              </w:rPr>
              <w:t>25</w:t>
            </w:r>
            <w:r>
              <w:rPr>
                <w:rFonts w:hint="eastAsia" w:ascii="仿宋_GB2312" w:hAnsi="仿宋_GB2312" w:eastAsia="仿宋_GB2312" w:cs="仿宋_GB2312"/>
                <w:color w:val="auto"/>
                <w:sz w:val="32"/>
                <w:szCs w:val="32"/>
                <w:highlight w:val="none"/>
              </w:rPr>
              <w:t>分</w:t>
            </w:r>
          </w:p>
        </w:tc>
      </w:tr>
      <w:tr>
        <w:tblPrEx>
          <w:tblCellMar>
            <w:top w:w="0" w:type="dxa"/>
            <w:left w:w="10" w:type="dxa"/>
            <w:bottom w:w="0" w:type="dxa"/>
            <w:right w:w="10" w:type="dxa"/>
          </w:tblCellMar>
        </w:tblPrEx>
        <w:trPr>
          <w:jc w:val="center"/>
        </w:trPr>
        <w:tc>
          <w:tcPr>
            <w:tcW w:w="1276" w:type="pct"/>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社会实践</w:t>
            </w:r>
          </w:p>
        </w:tc>
        <w:tc>
          <w:tcPr>
            <w:tcW w:w="3723" w:type="pct"/>
            <w:tcBorders>
              <w:top w:val="single" w:color="000000" w:sz="4"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满分</w:t>
            </w:r>
            <w:r>
              <w:rPr>
                <w:rFonts w:eastAsia="仿宋_GB2312"/>
                <w:color w:val="auto"/>
                <w:sz w:val="32"/>
                <w:szCs w:val="32"/>
                <w:highlight w:val="none"/>
              </w:rPr>
              <w:t>10</w:t>
            </w:r>
            <w:r>
              <w:rPr>
                <w:rFonts w:hint="eastAsia" w:ascii="仿宋_GB2312" w:hAnsi="仿宋_GB2312" w:eastAsia="仿宋_GB2312" w:cs="仿宋_GB2312"/>
                <w:color w:val="auto"/>
                <w:sz w:val="32"/>
                <w:szCs w:val="32"/>
                <w:highlight w:val="none"/>
              </w:rPr>
              <w:t>分</w:t>
            </w:r>
          </w:p>
        </w:tc>
      </w:tr>
    </w:tbl>
    <w:p>
      <w:pPr>
        <w:spacing w:line="600" w:lineRule="exact"/>
        <w:ind w:firstLine="640" w:firstLineChars="200"/>
        <w:jc w:val="left"/>
        <w:rPr>
          <w:rFonts w:ascii="楷体_GB2312" w:hAnsi="楷体_GB2312" w:eastAsia="楷体_GB2312" w:cs="楷体_GB2312"/>
          <w:color w:val="auto"/>
          <w:sz w:val="32"/>
          <w:szCs w:val="32"/>
          <w:highlight w:val="none"/>
        </w:rPr>
      </w:pPr>
    </w:p>
    <w:p>
      <w:pPr>
        <w:spacing w:line="600" w:lineRule="exact"/>
        <w:ind w:firstLine="640" w:firstLineChars="200"/>
        <w:jc w:val="left"/>
        <w:rPr>
          <w:rFonts w:hint="eastAsia" w:ascii="仿宋_GB2312" w:hAnsi="楷体_GB2312" w:eastAsia="仿宋_GB2312" w:cs="楷体_GB2312"/>
          <w:color w:val="auto"/>
          <w:sz w:val="32"/>
          <w:szCs w:val="32"/>
          <w:highlight w:val="none"/>
        </w:rPr>
      </w:pPr>
      <w:r>
        <w:rPr>
          <w:rFonts w:hint="eastAsia" w:ascii="仿宋_GB2312" w:hAnsi="楷体_GB2312" w:eastAsia="仿宋_GB2312" w:cs="楷体_GB2312"/>
          <w:color w:val="auto"/>
          <w:sz w:val="32"/>
          <w:szCs w:val="32"/>
          <w:highlight w:val="none"/>
        </w:rPr>
        <w:t>（三）硕士生学业奖学金评选量化表</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如表4所示，适用于二年级（含）以上硕士研究生。</w:t>
      </w:r>
    </w:p>
    <w:p>
      <w:pPr>
        <w:spacing w:line="600" w:lineRule="exact"/>
        <w:ind w:firstLine="640" w:firstLineChars="200"/>
        <w:jc w:val="left"/>
        <w:rPr>
          <w:rFonts w:hint="eastAsia" w:ascii="仿宋_GB2312" w:hAnsi="仿宋_GB2312" w:eastAsia="仿宋_GB2312" w:cs="仿宋_GB2312"/>
          <w:color w:val="auto"/>
          <w:sz w:val="32"/>
          <w:szCs w:val="32"/>
          <w:highlight w:val="none"/>
        </w:rPr>
      </w:pPr>
    </w:p>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表4  硕士生学业奖学金评选量化表</w:t>
      </w:r>
    </w:p>
    <w:tbl>
      <w:tblPr>
        <w:tblStyle w:val="4"/>
        <w:tblW w:w="4805" w:type="pct"/>
        <w:jc w:val="center"/>
        <w:tblLayout w:type="autofit"/>
        <w:tblCellMar>
          <w:top w:w="0" w:type="dxa"/>
          <w:left w:w="10" w:type="dxa"/>
          <w:bottom w:w="0" w:type="dxa"/>
          <w:right w:w="10" w:type="dxa"/>
        </w:tblCellMar>
      </w:tblPr>
      <w:tblGrid>
        <w:gridCol w:w="852"/>
        <w:gridCol w:w="1614"/>
        <w:gridCol w:w="7004"/>
      </w:tblGrid>
      <w:tr>
        <w:tblPrEx>
          <w:tblCellMar>
            <w:top w:w="0" w:type="dxa"/>
            <w:left w:w="10" w:type="dxa"/>
            <w:bottom w:w="0" w:type="dxa"/>
            <w:right w:w="10" w:type="dxa"/>
          </w:tblCellMar>
        </w:tblPrEx>
        <w:trPr>
          <w:jc w:val="center"/>
        </w:trPr>
        <w:tc>
          <w:tcPr>
            <w:tcW w:w="1302" w:type="pct"/>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w:t>
            </w:r>
          </w:p>
        </w:tc>
        <w:tc>
          <w:tcPr>
            <w:tcW w:w="3697" w:type="pct"/>
            <w:tcBorders>
              <w:top w:val="single" w:color="000000" w:sz="4"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分值</w:t>
            </w:r>
          </w:p>
        </w:tc>
      </w:tr>
      <w:tr>
        <w:tblPrEx>
          <w:tblCellMar>
            <w:top w:w="0" w:type="dxa"/>
            <w:left w:w="10" w:type="dxa"/>
            <w:bottom w:w="0" w:type="dxa"/>
            <w:right w:w="10" w:type="dxa"/>
          </w:tblCellMar>
        </w:tblPrEx>
        <w:trPr>
          <w:jc w:val="center"/>
        </w:trPr>
        <w:tc>
          <w:tcPr>
            <w:tcW w:w="1302" w:type="pct"/>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学习成绩（A）</w:t>
            </w:r>
          </w:p>
        </w:tc>
        <w:tc>
          <w:tcPr>
            <w:tcW w:w="3697" w:type="pct"/>
            <w:tcBorders>
              <w:top w:val="single" w:color="000000" w:sz="4"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评优年度范围属于一年级的满分</w:t>
            </w:r>
            <w:r>
              <w:rPr>
                <w:rFonts w:eastAsia="仿宋_GB2312"/>
                <w:color w:val="auto"/>
                <w:sz w:val="32"/>
                <w:szCs w:val="32"/>
                <w:highlight w:val="none"/>
              </w:rPr>
              <w:t>20</w:t>
            </w:r>
            <w:r>
              <w:rPr>
                <w:rFonts w:hint="eastAsia" w:ascii="仿宋_GB2312" w:hAnsi="仿宋_GB2312" w:eastAsia="仿宋_GB2312" w:cs="仿宋_GB2312"/>
                <w:color w:val="auto"/>
                <w:sz w:val="32"/>
                <w:szCs w:val="32"/>
                <w:highlight w:val="none"/>
              </w:rPr>
              <w:t>分；</w:t>
            </w:r>
          </w:p>
          <w:p>
            <w:pPr>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评优年度范围属于二年级的该项不计分。</w:t>
            </w:r>
          </w:p>
        </w:tc>
      </w:tr>
      <w:tr>
        <w:tblPrEx>
          <w:tblCellMar>
            <w:top w:w="0" w:type="dxa"/>
            <w:left w:w="10" w:type="dxa"/>
            <w:bottom w:w="0" w:type="dxa"/>
            <w:right w:w="10" w:type="dxa"/>
          </w:tblCellMar>
        </w:tblPrEx>
        <w:trPr>
          <w:jc w:val="center"/>
        </w:trPr>
        <w:tc>
          <w:tcPr>
            <w:tcW w:w="1302" w:type="pct"/>
            <w:gridSpan w:val="2"/>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思想道德品质</w:t>
            </w:r>
          </w:p>
        </w:tc>
        <w:tc>
          <w:tcPr>
            <w:tcW w:w="369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满分</w:t>
            </w:r>
            <w:r>
              <w:rPr>
                <w:rFonts w:eastAsia="仿宋_GB2312"/>
                <w:color w:val="auto"/>
                <w:sz w:val="32"/>
                <w:szCs w:val="32"/>
                <w:highlight w:val="none"/>
              </w:rPr>
              <w:t>15</w:t>
            </w:r>
            <w:r>
              <w:rPr>
                <w:rFonts w:hint="eastAsia" w:ascii="仿宋_GB2312" w:hAnsi="仿宋_GB2312" w:eastAsia="仿宋_GB2312" w:cs="仿宋_GB2312"/>
                <w:color w:val="auto"/>
                <w:sz w:val="32"/>
                <w:szCs w:val="32"/>
                <w:highlight w:val="none"/>
              </w:rPr>
              <w:t>分</w:t>
            </w:r>
          </w:p>
        </w:tc>
      </w:tr>
      <w:tr>
        <w:tblPrEx>
          <w:tblCellMar>
            <w:top w:w="0" w:type="dxa"/>
            <w:left w:w="10" w:type="dxa"/>
            <w:bottom w:w="0" w:type="dxa"/>
            <w:right w:w="10" w:type="dxa"/>
          </w:tblCellMar>
        </w:tblPrEx>
        <w:trPr>
          <w:jc w:val="center"/>
        </w:trPr>
        <w:tc>
          <w:tcPr>
            <w:tcW w:w="450" w:type="pct"/>
            <w:vMerge w:val="restart"/>
            <w:tcBorders>
              <w:top w:val="single" w:color="000000" w:sz="6" w:space="0"/>
              <w:left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科研成果</w:t>
            </w:r>
          </w:p>
        </w:tc>
        <w:tc>
          <w:tcPr>
            <w:tcW w:w="851" w:type="pct"/>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科学研究</w:t>
            </w:r>
          </w:p>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（B）</w:t>
            </w:r>
          </w:p>
        </w:tc>
        <w:tc>
          <w:tcPr>
            <w:tcW w:w="369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评优年度范围属于一年级的满分</w:t>
            </w:r>
            <w:r>
              <w:rPr>
                <w:rFonts w:eastAsia="仿宋_GB2312"/>
                <w:color w:val="auto"/>
                <w:sz w:val="32"/>
                <w:szCs w:val="32"/>
                <w:highlight w:val="none"/>
              </w:rPr>
              <w:t>35</w:t>
            </w:r>
            <w:r>
              <w:rPr>
                <w:rFonts w:hint="eastAsia" w:ascii="仿宋_GB2312" w:hAnsi="仿宋_GB2312" w:eastAsia="仿宋_GB2312" w:cs="仿宋_GB2312"/>
                <w:color w:val="auto"/>
                <w:sz w:val="32"/>
                <w:szCs w:val="32"/>
                <w:highlight w:val="none"/>
              </w:rPr>
              <w:t>分；</w:t>
            </w:r>
          </w:p>
          <w:p>
            <w:pPr>
              <w:spacing w:line="60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评优年度范围属于二年级的满分</w:t>
            </w:r>
            <w:r>
              <w:rPr>
                <w:rFonts w:eastAsia="仿宋_GB2312"/>
                <w:color w:val="auto"/>
                <w:sz w:val="32"/>
                <w:szCs w:val="32"/>
                <w:highlight w:val="none"/>
              </w:rPr>
              <w:t>50</w:t>
            </w:r>
            <w:r>
              <w:rPr>
                <w:rFonts w:hint="eastAsia" w:ascii="仿宋_GB2312" w:hAnsi="仿宋_GB2312" w:eastAsia="仿宋_GB2312" w:cs="仿宋_GB2312"/>
                <w:color w:val="auto"/>
                <w:sz w:val="32"/>
                <w:szCs w:val="32"/>
                <w:highlight w:val="none"/>
              </w:rPr>
              <w:t>分。</w:t>
            </w:r>
          </w:p>
        </w:tc>
      </w:tr>
      <w:tr>
        <w:tblPrEx>
          <w:tblCellMar>
            <w:top w:w="0" w:type="dxa"/>
            <w:left w:w="10" w:type="dxa"/>
            <w:bottom w:w="0" w:type="dxa"/>
            <w:right w:w="10" w:type="dxa"/>
          </w:tblCellMar>
        </w:tblPrEx>
        <w:trPr>
          <w:jc w:val="center"/>
        </w:trPr>
        <w:tc>
          <w:tcPr>
            <w:tcW w:w="450" w:type="pct"/>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p>
        </w:tc>
        <w:tc>
          <w:tcPr>
            <w:tcW w:w="851" w:type="pct"/>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科技创新</w:t>
            </w:r>
          </w:p>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（C）</w:t>
            </w:r>
          </w:p>
        </w:tc>
        <w:tc>
          <w:tcPr>
            <w:tcW w:w="369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评优年度范围属于一年级的满分</w:t>
            </w:r>
            <w:r>
              <w:rPr>
                <w:rFonts w:eastAsia="仿宋_GB2312"/>
                <w:color w:val="auto"/>
                <w:sz w:val="32"/>
                <w:szCs w:val="32"/>
                <w:highlight w:val="none"/>
              </w:rPr>
              <w:t>20</w:t>
            </w:r>
            <w:r>
              <w:rPr>
                <w:rFonts w:hint="eastAsia" w:ascii="仿宋_GB2312" w:hAnsi="仿宋_GB2312" w:eastAsia="仿宋_GB2312" w:cs="仿宋_GB2312"/>
                <w:color w:val="auto"/>
                <w:sz w:val="32"/>
                <w:szCs w:val="32"/>
                <w:highlight w:val="none"/>
              </w:rPr>
              <w:t>分；</w:t>
            </w:r>
          </w:p>
          <w:p>
            <w:pPr>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评优年度范围属于二年级的满分</w:t>
            </w:r>
            <w:r>
              <w:rPr>
                <w:rFonts w:eastAsia="仿宋_GB2312"/>
                <w:color w:val="auto"/>
                <w:sz w:val="32"/>
                <w:szCs w:val="32"/>
                <w:highlight w:val="none"/>
              </w:rPr>
              <w:t>25</w:t>
            </w:r>
            <w:r>
              <w:rPr>
                <w:rFonts w:hint="eastAsia" w:ascii="仿宋_GB2312" w:hAnsi="仿宋_GB2312" w:eastAsia="仿宋_GB2312" w:cs="仿宋_GB2312"/>
                <w:color w:val="auto"/>
                <w:sz w:val="32"/>
                <w:szCs w:val="32"/>
                <w:highlight w:val="none"/>
              </w:rPr>
              <w:t>分。</w:t>
            </w:r>
          </w:p>
        </w:tc>
      </w:tr>
      <w:tr>
        <w:tblPrEx>
          <w:tblCellMar>
            <w:top w:w="0" w:type="dxa"/>
            <w:left w:w="10" w:type="dxa"/>
            <w:bottom w:w="0" w:type="dxa"/>
            <w:right w:w="10" w:type="dxa"/>
          </w:tblCellMar>
        </w:tblPrEx>
        <w:trPr>
          <w:jc w:val="center"/>
        </w:trPr>
        <w:tc>
          <w:tcPr>
            <w:tcW w:w="1302" w:type="pct"/>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社会实践</w:t>
            </w:r>
          </w:p>
        </w:tc>
        <w:tc>
          <w:tcPr>
            <w:tcW w:w="3697" w:type="pct"/>
            <w:tcBorders>
              <w:top w:val="single" w:color="000000" w:sz="4"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满分</w:t>
            </w:r>
            <w:r>
              <w:rPr>
                <w:rFonts w:eastAsia="仿宋_GB2312"/>
                <w:color w:val="auto"/>
                <w:sz w:val="32"/>
                <w:szCs w:val="32"/>
                <w:highlight w:val="none"/>
              </w:rPr>
              <w:t>10</w:t>
            </w:r>
            <w:r>
              <w:rPr>
                <w:rFonts w:hint="eastAsia" w:ascii="仿宋_GB2312" w:hAnsi="仿宋_GB2312" w:eastAsia="仿宋_GB2312" w:cs="仿宋_GB2312"/>
                <w:color w:val="auto"/>
                <w:sz w:val="32"/>
                <w:szCs w:val="32"/>
                <w:highlight w:val="none"/>
              </w:rPr>
              <w:t>分</w:t>
            </w:r>
          </w:p>
        </w:tc>
      </w:tr>
    </w:tbl>
    <w:p>
      <w:pPr>
        <w:spacing w:line="600" w:lineRule="exact"/>
        <w:ind w:firstLine="640" w:firstLineChars="200"/>
        <w:jc w:val="left"/>
        <w:rPr>
          <w:rFonts w:hint="eastAsia" w:ascii="仿宋_GB2312" w:hAnsi="仿宋_GB2312" w:eastAsia="仿宋_GB2312" w:cs="仿宋_GB2312"/>
          <w:color w:val="auto"/>
          <w:sz w:val="32"/>
          <w:szCs w:val="32"/>
          <w:highlight w:val="none"/>
        </w:rPr>
      </w:pPr>
    </w:p>
    <w:p>
      <w:pPr>
        <w:spacing w:line="600" w:lineRule="exact"/>
        <w:ind w:firstLine="643"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 xml:space="preserve">第十四条  </w:t>
      </w:r>
      <w:r>
        <w:rPr>
          <w:rFonts w:hint="eastAsia" w:ascii="仿宋_GB2312" w:hAnsi="仿宋_GB2312" w:eastAsia="仿宋_GB2312" w:cs="仿宋_GB2312"/>
          <w:color w:val="auto"/>
          <w:sz w:val="32"/>
          <w:szCs w:val="32"/>
          <w:highlight w:val="none"/>
          <w:shd w:val="clear" w:color="auto" w:fill="FFFFFF"/>
        </w:rPr>
        <w:t>加分依据</w:t>
      </w:r>
    </w:p>
    <w:p>
      <w:pPr>
        <w:spacing w:line="600" w:lineRule="exact"/>
        <w:ind w:firstLine="640" w:firstLineChars="200"/>
        <w:rPr>
          <w:rFonts w:hint="eastAsia" w:ascii="仿宋_GB2312" w:hAnsi="楷体_GB2312" w:eastAsia="仿宋_GB2312" w:cs="楷体_GB2312"/>
          <w:color w:val="auto"/>
          <w:sz w:val="32"/>
          <w:szCs w:val="32"/>
          <w:highlight w:val="none"/>
        </w:rPr>
      </w:pPr>
      <w:r>
        <w:rPr>
          <w:rFonts w:hint="eastAsia" w:ascii="仿宋_GB2312" w:hAnsi="楷体_GB2312" w:eastAsia="仿宋_GB2312" w:cs="楷体_GB2312"/>
          <w:color w:val="auto"/>
          <w:sz w:val="32"/>
          <w:szCs w:val="32"/>
          <w:highlight w:val="none"/>
        </w:rPr>
        <w:t>（一）学生生源</w:t>
      </w:r>
    </w:p>
    <w:p>
      <w:pPr>
        <w:spacing w:line="600" w:lineRule="exact"/>
        <w:ind w:firstLine="640" w:firstLineChars="200"/>
        <w:jc w:val="left"/>
        <w:rPr>
          <w:rFonts w:hint="eastAsia" w:ascii="仿宋_GB2312" w:hAnsi="仿宋_GB2312" w:eastAsia="仿宋_GB2312" w:cs="仿宋_GB2312"/>
          <w:color w:val="auto"/>
          <w:sz w:val="32"/>
          <w:szCs w:val="32"/>
          <w:highlight w:val="none"/>
          <w:shd w:val="clear" w:color="auto" w:fill="FFFFFF"/>
        </w:rPr>
      </w:pPr>
      <w:r>
        <w:rPr>
          <w:rFonts w:eastAsia="仿宋_GB2312"/>
          <w:color w:val="auto"/>
          <w:sz w:val="32"/>
          <w:szCs w:val="32"/>
          <w:highlight w:val="none"/>
          <w:shd w:val="clear" w:color="auto" w:fill="FFFFFF"/>
        </w:rPr>
        <w:t>1</w:t>
      </w:r>
      <w:r>
        <w:rPr>
          <w:rFonts w:hint="eastAsia" w:ascii="仿宋_GB2312" w:hAnsi="仿宋_GB2312" w:eastAsia="仿宋_GB2312" w:cs="仿宋_GB2312"/>
          <w:color w:val="auto"/>
          <w:sz w:val="32"/>
          <w:szCs w:val="32"/>
          <w:highlight w:val="none"/>
          <w:shd w:val="clear" w:color="auto" w:fill="FFFFFF"/>
        </w:rPr>
        <w:t>.硕士凡是第一志愿报我院可申请加</w:t>
      </w:r>
      <w:r>
        <w:rPr>
          <w:rFonts w:hint="eastAsia" w:eastAsia="仿宋_GB2312"/>
          <w:color w:val="auto"/>
          <w:sz w:val="32"/>
          <w:szCs w:val="32"/>
          <w:highlight w:val="none"/>
          <w:shd w:val="clear" w:color="auto" w:fill="FFFFFF"/>
          <w:lang w:val="en-US" w:eastAsia="zh-CN"/>
        </w:rPr>
        <w:t>10</w:t>
      </w:r>
      <w:r>
        <w:rPr>
          <w:rFonts w:hint="eastAsia" w:ascii="仿宋_GB2312" w:hAnsi="仿宋_GB2312" w:eastAsia="仿宋_GB2312" w:cs="仿宋_GB2312"/>
          <w:color w:val="auto"/>
          <w:sz w:val="32"/>
          <w:szCs w:val="32"/>
          <w:highlight w:val="none"/>
          <w:shd w:val="clear" w:color="auto" w:fill="FFFFFF"/>
        </w:rPr>
        <w:t>分；来源于双一流建设高校的学生可申请加</w:t>
      </w:r>
      <w:r>
        <w:rPr>
          <w:rFonts w:eastAsia="仿宋_GB2312"/>
          <w:color w:val="auto"/>
          <w:sz w:val="32"/>
          <w:szCs w:val="32"/>
          <w:highlight w:val="none"/>
          <w:shd w:val="clear" w:color="auto" w:fill="FFFFFF"/>
        </w:rPr>
        <w:t>10</w:t>
      </w:r>
      <w:r>
        <w:rPr>
          <w:rFonts w:hint="eastAsia" w:ascii="仿宋_GB2312" w:hAnsi="仿宋_GB2312" w:eastAsia="仿宋_GB2312" w:cs="仿宋_GB2312"/>
          <w:color w:val="auto"/>
          <w:sz w:val="32"/>
          <w:szCs w:val="32"/>
          <w:highlight w:val="none"/>
          <w:shd w:val="clear" w:color="auto" w:fill="FFFFFF"/>
        </w:rPr>
        <w:t>分；本校升学学生可申请加</w:t>
      </w:r>
      <w:r>
        <w:rPr>
          <w:rFonts w:eastAsia="仿宋_GB2312"/>
          <w:color w:val="auto"/>
          <w:sz w:val="32"/>
          <w:szCs w:val="32"/>
          <w:highlight w:val="none"/>
          <w:shd w:val="clear" w:color="auto" w:fill="FFFFFF"/>
        </w:rPr>
        <w:t>5</w:t>
      </w:r>
      <w:r>
        <w:rPr>
          <w:rFonts w:hint="eastAsia" w:ascii="仿宋_GB2312" w:hAnsi="仿宋_GB2312" w:eastAsia="仿宋_GB2312" w:cs="仿宋_GB2312"/>
          <w:color w:val="auto"/>
          <w:sz w:val="32"/>
          <w:szCs w:val="32"/>
          <w:highlight w:val="none"/>
          <w:shd w:val="clear" w:color="auto" w:fill="FFFFFF"/>
        </w:rPr>
        <w:t>分，上述分数可叠加。</w:t>
      </w:r>
    </w:p>
    <w:p>
      <w:pPr>
        <w:spacing w:line="600" w:lineRule="exact"/>
        <w:ind w:firstLine="640" w:firstLineChars="200"/>
        <w:jc w:val="left"/>
        <w:rPr>
          <w:rFonts w:ascii="仿宋_GB2312" w:hAnsi="仿宋_GB2312" w:eastAsia="仿宋_GB2312" w:cs="仿宋_GB2312"/>
          <w:color w:val="auto"/>
          <w:sz w:val="32"/>
          <w:szCs w:val="32"/>
          <w:highlight w:val="none"/>
          <w:shd w:val="clear" w:color="auto" w:fill="FFFFFF"/>
        </w:rPr>
      </w:pPr>
      <w:r>
        <w:rPr>
          <w:rFonts w:eastAsia="仿宋_GB2312"/>
          <w:color w:val="auto"/>
          <w:sz w:val="32"/>
          <w:szCs w:val="32"/>
          <w:highlight w:val="none"/>
          <w:shd w:val="clear" w:color="auto" w:fill="FFFFFF"/>
        </w:rPr>
        <w:t>2</w:t>
      </w:r>
      <w:r>
        <w:rPr>
          <w:rFonts w:hint="eastAsia" w:ascii="仿宋_GB2312" w:hAnsi="仿宋_GB2312" w:eastAsia="仿宋_GB2312" w:cs="仿宋_GB2312"/>
          <w:color w:val="auto"/>
          <w:sz w:val="32"/>
          <w:szCs w:val="32"/>
          <w:highlight w:val="none"/>
          <w:shd w:val="clear" w:color="auto" w:fill="FFFFFF"/>
        </w:rPr>
        <w:t>.博士凡硕博连读学生可申请加</w:t>
      </w:r>
      <w:r>
        <w:rPr>
          <w:rFonts w:eastAsia="仿宋_GB2312"/>
          <w:color w:val="auto"/>
          <w:sz w:val="32"/>
          <w:szCs w:val="32"/>
          <w:highlight w:val="none"/>
          <w:shd w:val="clear" w:color="auto" w:fill="FFFFFF"/>
        </w:rPr>
        <w:t>10</w:t>
      </w:r>
      <w:r>
        <w:rPr>
          <w:rFonts w:hint="eastAsia" w:ascii="仿宋_GB2312" w:hAnsi="仿宋_GB2312" w:eastAsia="仿宋_GB2312" w:cs="仿宋_GB2312"/>
          <w:color w:val="auto"/>
          <w:sz w:val="32"/>
          <w:szCs w:val="32"/>
          <w:highlight w:val="none"/>
          <w:shd w:val="clear" w:color="auto" w:fill="FFFFFF"/>
        </w:rPr>
        <w:t>分；来源于双一流建设高校的学生可申请加</w:t>
      </w:r>
      <w:r>
        <w:rPr>
          <w:rFonts w:hint="eastAsia" w:eastAsia="仿宋_GB2312"/>
          <w:color w:val="auto"/>
          <w:sz w:val="32"/>
          <w:szCs w:val="32"/>
          <w:highlight w:val="none"/>
          <w:shd w:val="clear" w:color="auto" w:fill="FFFFFF"/>
        </w:rPr>
        <w:t>10</w:t>
      </w:r>
      <w:r>
        <w:rPr>
          <w:rFonts w:hint="eastAsia" w:ascii="仿宋_GB2312" w:hAnsi="仿宋_GB2312" w:eastAsia="仿宋_GB2312" w:cs="仿宋_GB2312"/>
          <w:color w:val="auto"/>
          <w:sz w:val="32"/>
          <w:szCs w:val="32"/>
          <w:highlight w:val="none"/>
          <w:shd w:val="clear" w:color="auto" w:fill="FFFFFF"/>
        </w:rPr>
        <w:t>分；本校升学学生可申请加</w:t>
      </w:r>
      <w:r>
        <w:rPr>
          <w:rFonts w:eastAsia="仿宋_GB2312"/>
          <w:color w:val="auto"/>
          <w:sz w:val="32"/>
          <w:szCs w:val="32"/>
          <w:highlight w:val="none"/>
          <w:shd w:val="clear" w:color="auto" w:fill="FFFFFF"/>
        </w:rPr>
        <w:t>5</w:t>
      </w:r>
      <w:r>
        <w:rPr>
          <w:rFonts w:hint="eastAsia" w:ascii="仿宋_GB2312" w:hAnsi="仿宋_GB2312" w:eastAsia="仿宋_GB2312" w:cs="仿宋_GB2312"/>
          <w:color w:val="auto"/>
          <w:sz w:val="32"/>
          <w:szCs w:val="32"/>
          <w:highlight w:val="none"/>
          <w:shd w:val="clear" w:color="auto" w:fill="FFFFFF"/>
        </w:rPr>
        <w:t>分，上述分数可叠加。</w:t>
      </w:r>
    </w:p>
    <w:p>
      <w:pPr>
        <w:spacing w:line="600" w:lineRule="exact"/>
        <w:ind w:firstLine="640" w:firstLineChars="200"/>
        <w:jc w:val="left"/>
        <w:rPr>
          <w:rFonts w:hint="eastAsia" w:ascii="仿宋_GB2312" w:hAnsi="仿宋_GB2312" w:eastAsia="仿宋_GB2312" w:cs="仿宋_GB2312"/>
          <w:color w:val="auto"/>
          <w:sz w:val="32"/>
          <w:szCs w:val="32"/>
          <w:highlight w:val="none"/>
          <w:shd w:val="clear" w:color="auto" w:fill="FFFFFF"/>
        </w:rPr>
      </w:pPr>
      <w:r>
        <w:rPr>
          <w:rFonts w:eastAsia="仿宋_GB2312"/>
          <w:color w:val="auto"/>
          <w:sz w:val="32"/>
          <w:szCs w:val="32"/>
          <w:highlight w:val="none"/>
          <w:shd w:val="clear" w:color="auto" w:fill="FFFFFF"/>
        </w:rPr>
        <w:t>3</w:t>
      </w:r>
      <w:r>
        <w:rPr>
          <w:rFonts w:hint="eastAsia" w:ascii="仿宋_GB2312" w:hAnsi="仿宋_GB2312" w:eastAsia="仿宋_GB2312" w:cs="仿宋_GB2312"/>
          <w:color w:val="auto"/>
          <w:sz w:val="32"/>
          <w:szCs w:val="32"/>
          <w:highlight w:val="none"/>
          <w:shd w:val="clear" w:color="auto" w:fill="FFFFFF"/>
        </w:rPr>
        <w:t>.硕士考生初试总分高出所报考学科门类国家线的，可申请加分</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对于部分属于照顾专业的考生，则按照照顾专业的分数线作为表5的申请加分的分数起点。</w:t>
      </w:r>
      <w:r>
        <w:rPr>
          <w:rFonts w:hint="eastAsia" w:ascii="仿宋_GB2312" w:hAnsi="仿宋_GB2312" w:eastAsia="仿宋_GB2312" w:cs="仿宋_GB2312"/>
          <w:color w:val="auto"/>
          <w:sz w:val="32"/>
          <w:szCs w:val="32"/>
          <w:highlight w:val="none"/>
          <w:shd w:val="clear" w:color="auto" w:fill="FFFFFF"/>
        </w:rPr>
        <w:t>具体分值如表5所示：</w:t>
      </w:r>
    </w:p>
    <w:p>
      <w:pPr>
        <w:spacing w:line="600" w:lineRule="exact"/>
        <w:ind w:firstLine="640" w:firstLineChars="200"/>
        <w:jc w:val="left"/>
        <w:rPr>
          <w:rFonts w:hint="eastAsia" w:ascii="仿宋_GB2312" w:hAnsi="仿宋_GB2312" w:eastAsia="仿宋_GB2312" w:cs="仿宋_GB2312"/>
          <w:color w:val="auto"/>
          <w:sz w:val="32"/>
          <w:szCs w:val="32"/>
          <w:highlight w:val="none"/>
          <w:shd w:val="clear" w:color="auto" w:fill="FFFFFF"/>
        </w:rPr>
      </w:pPr>
    </w:p>
    <w:p>
      <w:pPr>
        <w:spacing w:line="600" w:lineRule="exact"/>
        <w:ind w:firstLine="640" w:firstLineChars="200"/>
        <w:jc w:val="center"/>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表5 初试总分申请加分情况</w:t>
      </w:r>
    </w:p>
    <w:tbl>
      <w:tblPr>
        <w:tblStyle w:val="4"/>
        <w:tblW w:w="4269" w:type="pct"/>
        <w:jc w:val="center"/>
        <w:tblLayout w:type="autofit"/>
        <w:tblCellMar>
          <w:top w:w="0" w:type="dxa"/>
          <w:left w:w="10" w:type="dxa"/>
          <w:bottom w:w="0" w:type="dxa"/>
          <w:right w:w="10" w:type="dxa"/>
        </w:tblCellMar>
      </w:tblPr>
      <w:tblGrid>
        <w:gridCol w:w="4917"/>
        <w:gridCol w:w="3496"/>
      </w:tblGrid>
      <w:tr>
        <w:tblPrEx>
          <w:tblCellMar>
            <w:top w:w="0" w:type="dxa"/>
            <w:left w:w="10" w:type="dxa"/>
            <w:bottom w:w="0" w:type="dxa"/>
            <w:right w:w="10" w:type="dxa"/>
          </w:tblCellMar>
        </w:tblPrEx>
        <w:trPr>
          <w:trHeight w:val="1" w:hRule="atLeast"/>
          <w:jc w:val="center"/>
        </w:trPr>
        <w:tc>
          <w:tcPr>
            <w:tcW w:w="2922"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超过所报考学科门类国家线分值</w:t>
            </w:r>
          </w:p>
        </w:tc>
        <w:tc>
          <w:tcPr>
            <w:tcW w:w="207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可申请加分</w:t>
            </w:r>
          </w:p>
        </w:tc>
      </w:tr>
      <w:tr>
        <w:tblPrEx>
          <w:tblCellMar>
            <w:top w:w="0" w:type="dxa"/>
            <w:left w:w="10" w:type="dxa"/>
            <w:bottom w:w="0" w:type="dxa"/>
            <w:right w:w="10" w:type="dxa"/>
          </w:tblCellMar>
        </w:tblPrEx>
        <w:trPr>
          <w:trHeight w:val="1" w:hRule="atLeast"/>
          <w:jc w:val="center"/>
        </w:trPr>
        <w:tc>
          <w:tcPr>
            <w:tcW w:w="2922"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30-</w:t>
            </w:r>
            <w:r>
              <w:rPr>
                <w:rFonts w:hint="eastAsia" w:ascii="宋体" w:hAnsi="宋体" w:eastAsia="宋体" w:cs="宋体"/>
                <w:b/>
                <w:bCs/>
                <w:color w:val="auto"/>
                <w:sz w:val="32"/>
                <w:szCs w:val="32"/>
                <w:highlight w:val="none"/>
                <w:lang w:val="en-US" w:eastAsia="zh-CN"/>
              </w:rPr>
              <w:t>39</w:t>
            </w:r>
          </w:p>
        </w:tc>
        <w:tc>
          <w:tcPr>
            <w:tcW w:w="207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10</w:t>
            </w:r>
          </w:p>
        </w:tc>
      </w:tr>
      <w:tr>
        <w:tblPrEx>
          <w:tblCellMar>
            <w:top w:w="0" w:type="dxa"/>
            <w:left w:w="10" w:type="dxa"/>
            <w:bottom w:w="0" w:type="dxa"/>
            <w:right w:w="10" w:type="dxa"/>
          </w:tblCellMar>
        </w:tblPrEx>
        <w:trPr>
          <w:trHeight w:val="1" w:hRule="atLeast"/>
          <w:jc w:val="center"/>
        </w:trPr>
        <w:tc>
          <w:tcPr>
            <w:tcW w:w="2922"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40-</w:t>
            </w:r>
            <w:r>
              <w:rPr>
                <w:rFonts w:hint="eastAsia" w:ascii="宋体" w:hAnsi="宋体" w:eastAsia="宋体" w:cs="宋体"/>
                <w:b/>
                <w:bCs/>
                <w:color w:val="auto"/>
                <w:sz w:val="32"/>
                <w:szCs w:val="32"/>
                <w:highlight w:val="none"/>
                <w:lang w:val="en-US" w:eastAsia="zh-CN"/>
              </w:rPr>
              <w:t>49</w:t>
            </w:r>
          </w:p>
        </w:tc>
        <w:tc>
          <w:tcPr>
            <w:tcW w:w="207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20</w:t>
            </w:r>
          </w:p>
        </w:tc>
      </w:tr>
      <w:tr>
        <w:tblPrEx>
          <w:tblCellMar>
            <w:top w:w="0" w:type="dxa"/>
            <w:left w:w="10" w:type="dxa"/>
            <w:bottom w:w="0" w:type="dxa"/>
            <w:right w:w="10" w:type="dxa"/>
          </w:tblCellMar>
        </w:tblPrEx>
        <w:trPr>
          <w:trHeight w:val="1" w:hRule="atLeast"/>
          <w:jc w:val="center"/>
        </w:trPr>
        <w:tc>
          <w:tcPr>
            <w:tcW w:w="2922"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50</w:t>
            </w:r>
            <w:r>
              <w:rPr>
                <w:rFonts w:hint="eastAsia" w:ascii="宋体" w:hAnsi="宋体" w:eastAsia="宋体" w:cs="宋体"/>
                <w:b/>
                <w:bCs/>
                <w:color w:val="auto"/>
                <w:sz w:val="32"/>
                <w:szCs w:val="32"/>
                <w:highlight w:val="none"/>
                <w:lang w:val="en-US" w:eastAsia="zh-CN"/>
              </w:rPr>
              <w:t>-59</w:t>
            </w:r>
          </w:p>
        </w:tc>
        <w:tc>
          <w:tcPr>
            <w:tcW w:w="207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30</w:t>
            </w:r>
          </w:p>
        </w:tc>
      </w:tr>
      <w:tr>
        <w:tblPrEx>
          <w:tblCellMar>
            <w:top w:w="0" w:type="dxa"/>
            <w:left w:w="10" w:type="dxa"/>
            <w:bottom w:w="0" w:type="dxa"/>
            <w:right w:w="10" w:type="dxa"/>
          </w:tblCellMar>
        </w:tblPrEx>
        <w:trPr>
          <w:trHeight w:val="1" w:hRule="atLeast"/>
          <w:jc w:val="center"/>
        </w:trPr>
        <w:tc>
          <w:tcPr>
            <w:tcW w:w="2922"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60-69</w:t>
            </w:r>
          </w:p>
        </w:tc>
        <w:tc>
          <w:tcPr>
            <w:tcW w:w="207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40</w:t>
            </w:r>
          </w:p>
        </w:tc>
      </w:tr>
      <w:tr>
        <w:tblPrEx>
          <w:tblCellMar>
            <w:top w:w="0" w:type="dxa"/>
            <w:left w:w="10" w:type="dxa"/>
            <w:bottom w:w="0" w:type="dxa"/>
            <w:right w:w="10" w:type="dxa"/>
          </w:tblCellMar>
        </w:tblPrEx>
        <w:trPr>
          <w:trHeight w:val="1" w:hRule="atLeast"/>
          <w:jc w:val="center"/>
        </w:trPr>
        <w:tc>
          <w:tcPr>
            <w:tcW w:w="2922"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70以上</w:t>
            </w:r>
          </w:p>
        </w:tc>
        <w:tc>
          <w:tcPr>
            <w:tcW w:w="207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50</w:t>
            </w:r>
          </w:p>
        </w:tc>
      </w:tr>
    </w:tbl>
    <w:p>
      <w:pPr>
        <w:spacing w:line="600" w:lineRule="exact"/>
        <w:ind w:firstLine="640" w:firstLineChars="200"/>
        <w:rPr>
          <w:rFonts w:hint="eastAsia" w:ascii="楷体_GB2312" w:hAnsi="楷体_GB2312" w:eastAsia="楷体_GB2312" w:cs="楷体_GB2312"/>
          <w:color w:val="auto"/>
          <w:sz w:val="32"/>
          <w:szCs w:val="32"/>
          <w:highlight w:val="none"/>
        </w:rPr>
      </w:pP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楷体_GB2312" w:eastAsia="仿宋_GB2312" w:cs="楷体_GB2312"/>
          <w:color w:val="auto"/>
          <w:sz w:val="32"/>
          <w:szCs w:val="32"/>
          <w:highlight w:val="none"/>
        </w:rPr>
        <w:t xml:space="preserve">（二）学习成绩  </w:t>
      </w:r>
      <w:r>
        <w:rPr>
          <w:rFonts w:hint="eastAsia" w:ascii="仿宋_GB2312" w:hAnsi="仿宋_GB2312" w:eastAsia="仿宋_GB2312" w:cs="仿宋_GB2312"/>
          <w:color w:val="auto"/>
          <w:sz w:val="32"/>
          <w:szCs w:val="32"/>
          <w:highlight w:val="none"/>
        </w:rPr>
        <w:t xml:space="preserve">                </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学习成绩以评优学年成绩计算，以教务系统成绩为准，研究生学习成绩计算公式为：</w:t>
      </w:r>
    </w:p>
    <w:p>
      <w:pPr>
        <w:spacing w:line="600" w:lineRule="auto"/>
        <w:ind w:firstLine="420"/>
        <w:jc w:val="center"/>
        <w:rPr>
          <w:rFonts w:ascii="仿宋_GB2312" w:hAnsi="仿宋_GB2312" w:eastAsia="仿宋_GB2312" w:cs="仿宋_GB2312"/>
          <w:color w:val="auto"/>
          <w:position w:val="-28"/>
          <w:sz w:val="32"/>
          <w:szCs w:val="32"/>
          <w:highlight w:val="none"/>
        </w:rPr>
      </w:pPr>
      <w:r>
        <w:rPr>
          <w:rFonts w:hint="eastAsia" w:ascii="仿宋_GB2312" w:hAnsi="仿宋_GB2312" w:eastAsia="仿宋_GB2312" w:cs="仿宋_GB2312"/>
          <w:color w:val="auto"/>
          <w:position w:val="-28"/>
          <w:sz w:val="32"/>
          <w:szCs w:val="32"/>
          <w:highlight w:val="none"/>
        </w:rPr>
        <w:t>个人平均分=Σ（课程分数×课程学分）/总学分</w:t>
      </w:r>
    </w:p>
    <w:p>
      <w:pPr>
        <w:spacing w:line="600" w:lineRule="auto"/>
        <w:ind w:firstLine="420"/>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个人学习成绩得分=（个人平均分/同类型人员最高平均分）×A</w:t>
      </w:r>
    </w:p>
    <w:p>
      <w:pPr>
        <w:spacing w:line="600" w:lineRule="auto"/>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（A值依据表</w:t>
      </w:r>
      <w:r>
        <w:rPr>
          <w:rFonts w:hint="eastAsia" w:eastAsia="仿宋_GB2312"/>
          <w:color w:val="auto"/>
          <w:sz w:val="32"/>
          <w:szCs w:val="32"/>
          <w:highlight w:val="none"/>
        </w:rPr>
        <w:t>3</w:t>
      </w:r>
      <w:r>
        <w:rPr>
          <w:rFonts w:hint="eastAsia" w:ascii="仿宋_GB2312" w:hAnsi="仿宋_GB2312" w:eastAsia="仿宋_GB2312" w:cs="仿宋_GB2312"/>
          <w:color w:val="auto"/>
          <w:sz w:val="32"/>
          <w:szCs w:val="32"/>
          <w:highlight w:val="none"/>
        </w:rPr>
        <w:t>、</w:t>
      </w:r>
      <w:r>
        <w:rPr>
          <w:rFonts w:hint="eastAsia" w:eastAsia="仿宋_GB2312"/>
          <w:color w:val="auto"/>
          <w:sz w:val="32"/>
          <w:szCs w:val="32"/>
          <w:highlight w:val="none"/>
        </w:rPr>
        <w:t>4</w:t>
      </w:r>
      <w:r>
        <w:rPr>
          <w:rFonts w:hint="eastAsia" w:ascii="仿宋_GB2312" w:hAnsi="仿宋_GB2312" w:eastAsia="仿宋_GB2312" w:cs="仿宋_GB2312"/>
          <w:color w:val="auto"/>
          <w:sz w:val="32"/>
          <w:szCs w:val="32"/>
          <w:highlight w:val="none"/>
        </w:rPr>
        <w:t>选定）</w:t>
      </w:r>
    </w:p>
    <w:p>
      <w:pPr>
        <w:spacing w:line="600" w:lineRule="exact"/>
        <w:ind w:firstLine="640" w:firstLineChars="200"/>
        <w:rPr>
          <w:rFonts w:hint="eastAsia" w:ascii="仿宋_GB2312" w:hAnsi="楷体_GB2312" w:eastAsia="仿宋_GB2312" w:cs="楷体_GB2312"/>
          <w:color w:val="auto"/>
          <w:sz w:val="32"/>
          <w:szCs w:val="32"/>
          <w:highlight w:val="none"/>
        </w:rPr>
      </w:pPr>
      <w:r>
        <w:rPr>
          <w:rFonts w:hint="eastAsia" w:ascii="仿宋_GB2312" w:hAnsi="楷体_GB2312" w:eastAsia="仿宋_GB2312" w:cs="楷体_GB2312"/>
          <w:color w:val="auto"/>
          <w:sz w:val="32"/>
          <w:szCs w:val="32"/>
          <w:highlight w:val="none"/>
        </w:rPr>
        <w:t>（三）思想道德品质</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思想道德品质包括基础分与奖励分两个方面，满分为</w:t>
      </w:r>
      <w:r>
        <w:rPr>
          <w:rFonts w:eastAsia="仿宋_GB2312"/>
          <w:color w:val="auto"/>
          <w:sz w:val="32"/>
          <w:szCs w:val="32"/>
          <w:highlight w:val="none"/>
        </w:rPr>
        <w:t>15</w:t>
      </w:r>
      <w:r>
        <w:rPr>
          <w:rFonts w:hint="eastAsia" w:ascii="仿宋_GB2312" w:hAnsi="仿宋_GB2312" w:eastAsia="仿宋_GB2312" w:cs="仿宋_GB2312"/>
          <w:color w:val="auto"/>
          <w:sz w:val="32"/>
          <w:szCs w:val="32"/>
          <w:highlight w:val="none"/>
        </w:rPr>
        <w:t>分。其中基础分为</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分，奖励分最高得分为</w:t>
      </w:r>
      <w:r>
        <w:rPr>
          <w:rFonts w:eastAsia="仿宋_GB2312"/>
          <w:color w:val="auto"/>
          <w:sz w:val="32"/>
          <w:szCs w:val="32"/>
          <w:highlight w:val="none"/>
        </w:rPr>
        <w:t>12</w:t>
      </w:r>
      <w:r>
        <w:rPr>
          <w:rFonts w:hint="eastAsia" w:ascii="仿宋_GB2312" w:hAnsi="仿宋_GB2312" w:eastAsia="仿宋_GB2312" w:cs="仿宋_GB2312"/>
          <w:color w:val="auto"/>
          <w:sz w:val="32"/>
          <w:szCs w:val="32"/>
          <w:highlight w:val="none"/>
        </w:rPr>
        <w:t>分。</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.基础分：</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研究生能以毛泽东思想，邓小平理论以及“三个代表”重要思想、科学发展观、习近平新时代中国特色社会主义思想为行动指南，自觉遵守国家法律和校规校纪，学习目的明确，学习态度端正，</w:t>
      </w:r>
      <w:r>
        <w:rPr>
          <w:rFonts w:hint="eastAsia" w:ascii="仿宋_GB2312" w:hAnsi="仿宋_GB2312" w:eastAsia="仿宋_GB2312" w:cs="仿宋_GB2312"/>
          <w:color w:val="auto"/>
          <w:sz w:val="32"/>
          <w:szCs w:val="32"/>
          <w:highlight w:val="none"/>
          <w:lang w:val="en-US" w:eastAsia="zh-CN"/>
        </w:rPr>
        <w:t>积极参加并完成上级党支部或团支部安排的相应理论学习，</w:t>
      </w:r>
      <w:r>
        <w:rPr>
          <w:rFonts w:hint="eastAsia" w:ascii="仿宋_GB2312" w:hAnsi="仿宋_GB2312" w:eastAsia="仿宋_GB2312" w:cs="仿宋_GB2312"/>
          <w:color w:val="auto"/>
          <w:sz w:val="32"/>
          <w:szCs w:val="32"/>
          <w:highlight w:val="none"/>
        </w:rPr>
        <w:t>积极参加社会实践和社会公益活动，有良好的道德修养和卫生习惯。符合上述标准的，可申请加</w:t>
      </w:r>
      <w:r>
        <w:rPr>
          <w:rFonts w:hint="eastAsia" w:ascii="仿宋_GB2312" w:hAnsi="仿宋_GB2312" w:eastAsia="仿宋_GB2312" w:cs="仿宋_GB2312"/>
          <w:color w:val="auto"/>
          <w:sz w:val="32"/>
          <w:szCs w:val="32"/>
          <w:highlight w:val="none"/>
          <w:lang w:val="en-US" w:eastAsia="zh-CN"/>
        </w:rPr>
        <w:t>相应</w:t>
      </w:r>
      <w:r>
        <w:rPr>
          <w:rFonts w:hint="eastAsia" w:ascii="仿宋_GB2312" w:hAnsi="仿宋_GB2312" w:eastAsia="仿宋_GB2312" w:cs="仿宋_GB2312"/>
          <w:color w:val="auto"/>
          <w:sz w:val="32"/>
          <w:szCs w:val="32"/>
          <w:highlight w:val="none"/>
        </w:rPr>
        <w:t>基础分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满分为</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分。</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2</w:t>
      </w:r>
      <w:r>
        <w:rPr>
          <w:rFonts w:hint="eastAsia" w:ascii="仿宋_GB2312" w:hAnsi="仿宋_GB2312" w:eastAsia="仿宋_GB2312" w:cs="仿宋_GB2312"/>
          <w:color w:val="auto"/>
          <w:sz w:val="32"/>
          <w:szCs w:val="32"/>
          <w:highlight w:val="none"/>
        </w:rPr>
        <w:t>.奖励分：</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符合如下具体项目条件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仅包含党委、政府、团委等官方部门盖章的表彰，不包括行业协会等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，研究生可以申请思想道德品质奖励加分：</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eastAsia="仿宋_GB2312"/>
          <w:color w:val="auto"/>
          <w:sz w:val="32"/>
          <w:szCs w:val="32"/>
          <w:highlight w:val="none"/>
        </w:rPr>
        <w:t>（</w:t>
      </w:r>
      <w:r>
        <w:rPr>
          <w:rFonts w:eastAsia="仿宋_GB2312"/>
          <w:color w:val="auto"/>
          <w:sz w:val="32"/>
          <w:szCs w:val="32"/>
          <w:highlight w:val="none"/>
        </w:rPr>
        <w:t>1</w:t>
      </w:r>
      <w:r>
        <w:rPr>
          <w:rFonts w:hint="eastAsia" w:eastAsia="仿宋_GB2312"/>
          <w:color w:val="auto"/>
          <w:sz w:val="32"/>
          <w:szCs w:val="32"/>
          <w:highlight w:val="none"/>
        </w:rPr>
        <w:t>）</w:t>
      </w:r>
      <w:r>
        <w:rPr>
          <w:rFonts w:hint="eastAsia" w:ascii="仿宋_GB2312" w:hAnsi="仿宋_GB2312" w:eastAsia="仿宋_GB2312" w:cs="仿宋_GB2312"/>
          <w:color w:val="auto"/>
          <w:sz w:val="32"/>
          <w:szCs w:val="32"/>
          <w:highlight w:val="none"/>
        </w:rPr>
        <w:t>本学年度在 “三下乡”、志愿服务、信息工作等各类活动中获得积极分子或先进个人，在见义勇为、拾金不昧、帮弱助残、抢险救灾、抢救伤残、疫情防控等方面有突出事迹，受到全国、省（部）、市、学校、学院表彰或通报表扬的以及获得其他优秀个人或者先进个人的，可申请加分，加分标准如表6所示：</w:t>
      </w:r>
    </w:p>
    <w:p>
      <w:pPr>
        <w:spacing w:line="600" w:lineRule="exact"/>
        <w:rPr>
          <w:rFonts w:hint="eastAsia" w:ascii="仿宋_GB2312" w:hAnsi="仿宋_GB2312" w:eastAsia="仿宋_GB2312" w:cs="仿宋_GB2312"/>
          <w:color w:val="auto"/>
          <w:sz w:val="32"/>
          <w:szCs w:val="32"/>
          <w:highlight w:val="none"/>
        </w:rPr>
      </w:pPr>
    </w:p>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表6  加分标准</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类型</w:t>
            </w:r>
          </w:p>
        </w:tc>
        <w:tc>
          <w:tcPr>
            <w:tcW w:w="2500" w:type="pct"/>
            <w:noWrap w:val="0"/>
            <w:vAlign w:val="top"/>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国家级</w:t>
            </w:r>
          </w:p>
        </w:tc>
        <w:tc>
          <w:tcPr>
            <w:tcW w:w="2500" w:type="pct"/>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省部级</w:t>
            </w:r>
          </w:p>
        </w:tc>
        <w:tc>
          <w:tcPr>
            <w:tcW w:w="2500" w:type="pct"/>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市（校）级</w:t>
            </w:r>
          </w:p>
        </w:tc>
        <w:tc>
          <w:tcPr>
            <w:tcW w:w="2500" w:type="pct"/>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院级</w:t>
            </w:r>
          </w:p>
        </w:tc>
        <w:tc>
          <w:tcPr>
            <w:tcW w:w="2500" w:type="pct"/>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r>
    </w:tbl>
    <w:p>
      <w:pPr>
        <w:spacing w:line="600" w:lineRule="exact"/>
        <w:rPr>
          <w:rFonts w:hint="eastAsia" w:ascii="仿宋_GB2312" w:hAnsi="仿宋_GB2312" w:eastAsia="仿宋_GB2312" w:cs="仿宋_GB2312"/>
          <w:color w:val="auto"/>
          <w:sz w:val="32"/>
          <w:szCs w:val="32"/>
          <w:highlight w:val="none"/>
        </w:rPr>
      </w:pPr>
    </w:p>
    <w:p>
      <w:pPr>
        <w:numPr>
          <w:ilvl w:val="0"/>
          <w:numId w:val="1"/>
        </w:num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本评定年度所在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学生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集体获得先进集体荣誉称号（如</w:t>
      </w:r>
      <w:r>
        <w:rPr>
          <w:rFonts w:hint="eastAsia" w:ascii="仿宋_GB2312" w:hAnsi="仿宋_GB2312" w:eastAsia="仿宋_GB2312" w:cs="仿宋_GB2312"/>
          <w:color w:val="auto"/>
          <w:sz w:val="32"/>
          <w:szCs w:val="32"/>
          <w:highlight w:val="none"/>
          <w:lang w:val="en-US" w:eastAsia="zh-CN"/>
        </w:rPr>
        <w:t>授予学生集体</w:t>
      </w:r>
      <w:r>
        <w:rPr>
          <w:rFonts w:hint="eastAsia" w:ascii="仿宋_GB2312" w:hAnsi="仿宋_GB2312" w:eastAsia="仿宋_GB2312" w:cs="仿宋_GB2312"/>
          <w:color w:val="auto"/>
          <w:sz w:val="32"/>
          <w:szCs w:val="32"/>
          <w:highlight w:val="none"/>
        </w:rPr>
        <w:t>优秀党支部，优秀团支部等），属该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学生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集体的研究生可申请奖励加分（标兵可视为一等奖，不定等次的荣誉称号视为二等奖），标准如表7所示：</w:t>
      </w:r>
    </w:p>
    <w:p>
      <w:pPr>
        <w:spacing w:line="600" w:lineRule="exact"/>
        <w:rPr>
          <w:rFonts w:hint="eastAsia" w:ascii="仿宋_GB2312" w:hAnsi="仿宋_GB2312" w:eastAsia="仿宋_GB2312" w:cs="仿宋_GB2312"/>
          <w:color w:val="auto"/>
          <w:sz w:val="32"/>
          <w:szCs w:val="32"/>
          <w:highlight w:val="none"/>
        </w:rPr>
      </w:pPr>
    </w:p>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表7  加分标准</w:t>
      </w:r>
    </w:p>
    <w:tbl>
      <w:tblPr>
        <w:tblStyle w:val="4"/>
        <w:tblW w:w="4998" w:type="pct"/>
        <w:jc w:val="center"/>
        <w:tblLayout w:type="autofit"/>
        <w:tblCellMar>
          <w:top w:w="0" w:type="dxa"/>
          <w:left w:w="10" w:type="dxa"/>
          <w:bottom w:w="0" w:type="dxa"/>
          <w:right w:w="10" w:type="dxa"/>
        </w:tblCellMar>
      </w:tblPr>
      <w:tblGrid>
        <w:gridCol w:w="3283"/>
        <w:gridCol w:w="3283"/>
        <w:gridCol w:w="3284"/>
      </w:tblGrid>
      <w:tr>
        <w:tblPrEx>
          <w:tblCellMar>
            <w:top w:w="0" w:type="dxa"/>
            <w:left w:w="10" w:type="dxa"/>
            <w:bottom w:w="0" w:type="dxa"/>
            <w:right w:w="10" w:type="dxa"/>
          </w:tblCellMar>
        </w:tblPrEx>
        <w:trPr>
          <w:jc w:val="center"/>
        </w:trPr>
        <w:tc>
          <w:tcPr>
            <w:tcW w:w="1666" w:type="pct"/>
            <w:vMerge w:val="restart"/>
            <w:tcBorders>
              <w:top w:val="single" w:color="000000" w:sz="4" w:space="0"/>
              <w:left w:val="single" w:color="000000" w:sz="4" w:space="0"/>
              <w:bottom w:val="single" w:color="000000" w:sz="6"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国家级</w:t>
            </w:r>
          </w:p>
        </w:tc>
        <w:tc>
          <w:tcPr>
            <w:tcW w:w="1666" w:type="pct"/>
            <w:tcBorders>
              <w:top w:val="single" w:color="000000" w:sz="4"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1666" w:type="pct"/>
            <w:tcBorders>
              <w:top w:val="single" w:color="000000" w:sz="4"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8</w:t>
            </w:r>
          </w:p>
        </w:tc>
      </w:tr>
      <w:tr>
        <w:tblPrEx>
          <w:tblCellMar>
            <w:top w:w="0" w:type="dxa"/>
            <w:left w:w="10" w:type="dxa"/>
            <w:bottom w:w="0" w:type="dxa"/>
            <w:right w:w="10" w:type="dxa"/>
          </w:tblCellMar>
        </w:tblPrEx>
        <w:trPr>
          <w:jc w:val="center"/>
        </w:trPr>
        <w:tc>
          <w:tcPr>
            <w:tcW w:w="1666" w:type="pct"/>
            <w:vMerge w:val="continue"/>
            <w:tcBorders>
              <w:top w:val="single" w:color="000000" w:sz="6" w:space="0"/>
              <w:left w:val="single" w:color="000000" w:sz="4" w:space="0"/>
              <w:bottom w:val="single" w:color="000000" w:sz="6" w:space="0"/>
              <w:right w:val="single" w:color="000000" w:sz="4" w:space="0"/>
            </w:tcBorders>
            <w:noWrap w:val="0"/>
            <w:tcMar>
              <w:left w:w="108" w:type="dxa"/>
              <w:right w:w="108" w:type="dxa"/>
            </w:tcMar>
            <w:vAlign w:val="center"/>
          </w:tcPr>
          <w:p>
            <w:pPr>
              <w:spacing w:after="200" w:line="600" w:lineRule="exact"/>
              <w:jc w:val="center"/>
              <w:rPr>
                <w:rFonts w:hint="eastAsia" w:ascii="仿宋_GB2312" w:hAnsi="仿宋_GB2312" w:eastAsia="仿宋_GB2312" w:cs="仿宋_GB2312"/>
                <w:color w:val="auto"/>
                <w:sz w:val="32"/>
                <w:szCs w:val="32"/>
                <w:highlight w:val="none"/>
              </w:rPr>
            </w:pP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6</w:t>
            </w:r>
          </w:p>
        </w:tc>
      </w:tr>
      <w:tr>
        <w:tblPrEx>
          <w:tblCellMar>
            <w:top w:w="0" w:type="dxa"/>
            <w:left w:w="10" w:type="dxa"/>
            <w:bottom w:w="0" w:type="dxa"/>
            <w:right w:w="10" w:type="dxa"/>
          </w:tblCellMar>
        </w:tblPrEx>
        <w:trPr>
          <w:jc w:val="center"/>
        </w:trPr>
        <w:tc>
          <w:tcPr>
            <w:tcW w:w="1666"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center"/>
              <w:rPr>
                <w:rFonts w:hint="eastAsia" w:ascii="仿宋_GB2312" w:hAnsi="仿宋_GB2312" w:eastAsia="仿宋_GB2312" w:cs="仿宋_GB2312"/>
                <w:color w:val="auto"/>
                <w:sz w:val="32"/>
                <w:szCs w:val="32"/>
                <w:highlight w:val="none"/>
              </w:rPr>
            </w:pP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4</w:t>
            </w:r>
          </w:p>
        </w:tc>
      </w:tr>
      <w:tr>
        <w:tblPrEx>
          <w:tblCellMar>
            <w:top w:w="0" w:type="dxa"/>
            <w:left w:w="10" w:type="dxa"/>
            <w:bottom w:w="0" w:type="dxa"/>
            <w:right w:w="10" w:type="dxa"/>
          </w:tblCellMar>
        </w:tblPrEx>
        <w:trPr>
          <w:jc w:val="center"/>
        </w:trPr>
        <w:tc>
          <w:tcPr>
            <w:tcW w:w="1666" w:type="pct"/>
            <w:vMerge w:val="restart"/>
            <w:tcBorders>
              <w:top w:val="single" w:color="000000" w:sz="6" w:space="0"/>
              <w:left w:val="single" w:color="000000" w:sz="4" w:space="0"/>
              <w:bottom w:val="single" w:color="000000" w:sz="6"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省（部）级</w:t>
            </w: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6</w:t>
            </w:r>
          </w:p>
        </w:tc>
      </w:tr>
      <w:tr>
        <w:tblPrEx>
          <w:tblCellMar>
            <w:top w:w="0" w:type="dxa"/>
            <w:left w:w="10" w:type="dxa"/>
            <w:bottom w:w="0" w:type="dxa"/>
            <w:right w:w="10" w:type="dxa"/>
          </w:tblCellMar>
        </w:tblPrEx>
        <w:trPr>
          <w:jc w:val="center"/>
        </w:trPr>
        <w:tc>
          <w:tcPr>
            <w:tcW w:w="1666" w:type="pct"/>
            <w:vMerge w:val="continue"/>
            <w:tcBorders>
              <w:top w:val="single" w:color="000000" w:sz="6" w:space="0"/>
              <w:left w:val="single" w:color="000000" w:sz="4" w:space="0"/>
              <w:bottom w:val="single" w:color="000000" w:sz="6" w:space="0"/>
              <w:right w:val="single" w:color="000000" w:sz="4" w:space="0"/>
            </w:tcBorders>
            <w:noWrap w:val="0"/>
            <w:tcMar>
              <w:left w:w="108" w:type="dxa"/>
              <w:right w:w="108" w:type="dxa"/>
            </w:tcMar>
            <w:vAlign w:val="center"/>
          </w:tcPr>
          <w:p>
            <w:pPr>
              <w:spacing w:after="200" w:line="600" w:lineRule="exact"/>
              <w:jc w:val="center"/>
              <w:rPr>
                <w:rFonts w:hint="eastAsia" w:ascii="仿宋_GB2312" w:hAnsi="仿宋_GB2312" w:eastAsia="仿宋_GB2312" w:cs="仿宋_GB2312"/>
                <w:color w:val="auto"/>
                <w:sz w:val="32"/>
                <w:szCs w:val="32"/>
                <w:highlight w:val="none"/>
              </w:rPr>
            </w:pP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4</w:t>
            </w:r>
          </w:p>
        </w:tc>
      </w:tr>
      <w:tr>
        <w:tblPrEx>
          <w:tblCellMar>
            <w:top w:w="0" w:type="dxa"/>
            <w:left w:w="10" w:type="dxa"/>
            <w:bottom w:w="0" w:type="dxa"/>
            <w:right w:w="10" w:type="dxa"/>
          </w:tblCellMar>
        </w:tblPrEx>
        <w:trPr>
          <w:jc w:val="center"/>
        </w:trPr>
        <w:tc>
          <w:tcPr>
            <w:tcW w:w="1666"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center"/>
              <w:rPr>
                <w:rFonts w:hint="eastAsia" w:ascii="仿宋_GB2312" w:hAnsi="仿宋_GB2312" w:eastAsia="仿宋_GB2312" w:cs="仿宋_GB2312"/>
                <w:color w:val="auto"/>
                <w:sz w:val="32"/>
                <w:szCs w:val="32"/>
                <w:highlight w:val="none"/>
              </w:rPr>
            </w:pP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3</w:t>
            </w:r>
          </w:p>
        </w:tc>
      </w:tr>
      <w:tr>
        <w:tblPrEx>
          <w:tblCellMar>
            <w:top w:w="0" w:type="dxa"/>
            <w:left w:w="10" w:type="dxa"/>
            <w:bottom w:w="0" w:type="dxa"/>
            <w:right w:w="10" w:type="dxa"/>
          </w:tblCellMar>
        </w:tblPrEx>
        <w:trPr>
          <w:jc w:val="center"/>
        </w:trPr>
        <w:tc>
          <w:tcPr>
            <w:tcW w:w="1666" w:type="pct"/>
            <w:vMerge w:val="restart"/>
            <w:tcBorders>
              <w:top w:val="single" w:color="000000" w:sz="6" w:space="0"/>
              <w:left w:val="single" w:color="000000" w:sz="4" w:space="0"/>
              <w:bottom w:val="single" w:color="000000" w:sz="6"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市（校）级</w:t>
            </w: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4</w:t>
            </w:r>
          </w:p>
        </w:tc>
      </w:tr>
      <w:tr>
        <w:tblPrEx>
          <w:tblCellMar>
            <w:top w:w="0" w:type="dxa"/>
            <w:left w:w="10" w:type="dxa"/>
            <w:bottom w:w="0" w:type="dxa"/>
            <w:right w:w="10" w:type="dxa"/>
          </w:tblCellMar>
        </w:tblPrEx>
        <w:trPr>
          <w:jc w:val="center"/>
        </w:trPr>
        <w:tc>
          <w:tcPr>
            <w:tcW w:w="1666" w:type="pct"/>
            <w:vMerge w:val="continue"/>
            <w:tcBorders>
              <w:top w:val="single" w:color="000000" w:sz="6" w:space="0"/>
              <w:left w:val="single" w:color="000000" w:sz="4" w:space="0"/>
              <w:bottom w:val="single" w:color="000000" w:sz="6" w:space="0"/>
              <w:right w:val="single" w:color="000000" w:sz="4" w:space="0"/>
            </w:tcBorders>
            <w:noWrap w:val="0"/>
            <w:tcMar>
              <w:left w:w="108" w:type="dxa"/>
              <w:right w:w="108" w:type="dxa"/>
            </w:tcMar>
            <w:vAlign w:val="center"/>
          </w:tcPr>
          <w:p>
            <w:pPr>
              <w:spacing w:after="200" w:line="600" w:lineRule="exact"/>
              <w:jc w:val="center"/>
              <w:rPr>
                <w:rFonts w:hint="eastAsia" w:ascii="仿宋_GB2312" w:hAnsi="仿宋_GB2312" w:eastAsia="仿宋_GB2312" w:cs="仿宋_GB2312"/>
                <w:color w:val="auto"/>
                <w:sz w:val="32"/>
                <w:szCs w:val="32"/>
                <w:highlight w:val="none"/>
              </w:rPr>
            </w:pP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3</w:t>
            </w:r>
          </w:p>
        </w:tc>
      </w:tr>
      <w:tr>
        <w:tblPrEx>
          <w:tblCellMar>
            <w:top w:w="0" w:type="dxa"/>
            <w:left w:w="10" w:type="dxa"/>
            <w:bottom w:w="0" w:type="dxa"/>
            <w:right w:w="10" w:type="dxa"/>
          </w:tblCellMar>
        </w:tblPrEx>
        <w:trPr>
          <w:jc w:val="center"/>
        </w:trPr>
        <w:tc>
          <w:tcPr>
            <w:tcW w:w="1666"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center"/>
              <w:rPr>
                <w:rFonts w:hint="eastAsia" w:ascii="仿宋_GB2312" w:hAnsi="仿宋_GB2312" w:eastAsia="仿宋_GB2312" w:cs="仿宋_GB2312"/>
                <w:color w:val="auto"/>
                <w:sz w:val="32"/>
                <w:szCs w:val="32"/>
                <w:highlight w:val="none"/>
              </w:rPr>
            </w:pP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2</w:t>
            </w:r>
          </w:p>
        </w:tc>
      </w:tr>
      <w:tr>
        <w:tblPrEx>
          <w:tblCellMar>
            <w:top w:w="0" w:type="dxa"/>
            <w:left w:w="10" w:type="dxa"/>
            <w:bottom w:w="0" w:type="dxa"/>
            <w:right w:w="10" w:type="dxa"/>
          </w:tblCellMar>
        </w:tblPrEx>
        <w:trPr>
          <w:jc w:val="center"/>
        </w:trPr>
        <w:tc>
          <w:tcPr>
            <w:tcW w:w="1666" w:type="pct"/>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院级</w:t>
            </w: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p>
        </w:tc>
        <w:tc>
          <w:tcPr>
            <w:tcW w:w="1666"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w:t>
            </w:r>
          </w:p>
        </w:tc>
      </w:tr>
    </w:tbl>
    <w:p>
      <w:pPr>
        <w:spacing w:line="600" w:lineRule="exact"/>
        <w:ind w:firstLine="640" w:firstLineChars="200"/>
        <w:rPr>
          <w:rFonts w:hint="eastAsia" w:eastAsia="仿宋_GB2312"/>
          <w:color w:val="auto"/>
          <w:sz w:val="32"/>
          <w:szCs w:val="32"/>
          <w:highlight w:val="none"/>
        </w:rPr>
      </w:pP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eastAsia="仿宋_GB2312"/>
          <w:color w:val="auto"/>
          <w:sz w:val="32"/>
          <w:szCs w:val="32"/>
          <w:highlight w:val="none"/>
        </w:rPr>
        <w:t>（</w:t>
      </w:r>
      <w:r>
        <w:rPr>
          <w:rFonts w:eastAsia="仿宋_GB2312"/>
          <w:color w:val="auto"/>
          <w:sz w:val="32"/>
          <w:szCs w:val="32"/>
          <w:highlight w:val="none"/>
        </w:rPr>
        <w:t>3</w:t>
      </w:r>
      <w:r>
        <w:rPr>
          <w:rFonts w:hint="eastAsia" w:eastAsia="仿宋_GB2312"/>
          <w:color w:val="auto"/>
          <w:sz w:val="32"/>
          <w:szCs w:val="32"/>
          <w:highlight w:val="none"/>
        </w:rPr>
        <w:t>）</w:t>
      </w:r>
      <w:r>
        <w:rPr>
          <w:rFonts w:hint="eastAsia" w:ascii="仿宋_GB2312" w:hAnsi="仿宋_GB2312" w:eastAsia="仿宋_GB2312" w:cs="仿宋_GB2312"/>
          <w:color w:val="auto"/>
          <w:sz w:val="32"/>
          <w:szCs w:val="32"/>
          <w:highlight w:val="none"/>
        </w:rPr>
        <w:t>本评定年度获个人荣誉的（如优秀共产党员、优秀学生骨干、优秀团员、优秀志愿者等）可申请奖励加分（标兵可视为一等奖，不定等次的荣誉称号视为二等奖），标准如表8所示：</w:t>
      </w:r>
    </w:p>
    <w:p>
      <w:pPr>
        <w:spacing w:line="600" w:lineRule="exact"/>
        <w:rPr>
          <w:rFonts w:hint="eastAsia" w:eastAsia="仿宋_GB2312"/>
          <w:color w:val="auto"/>
          <w:sz w:val="32"/>
          <w:szCs w:val="32"/>
          <w:highlight w:val="none"/>
        </w:rPr>
      </w:pPr>
    </w:p>
    <w:p>
      <w:pPr>
        <w:spacing w:line="600" w:lineRule="exact"/>
        <w:jc w:val="center"/>
        <w:rPr>
          <w:rFonts w:eastAsia="仿宋_GB2312"/>
          <w:color w:val="auto"/>
          <w:sz w:val="32"/>
          <w:szCs w:val="32"/>
          <w:highlight w:val="none"/>
        </w:rPr>
      </w:pPr>
      <w:r>
        <w:rPr>
          <w:rFonts w:hint="eastAsia" w:eastAsia="仿宋_GB2312"/>
          <w:color w:val="auto"/>
          <w:sz w:val="32"/>
          <w:szCs w:val="32"/>
          <w:highlight w:val="none"/>
        </w:rPr>
        <w:t>表8  加分标准</w:t>
      </w:r>
    </w:p>
    <w:tbl>
      <w:tblPr>
        <w:tblStyle w:val="4"/>
        <w:tblW w:w="4525"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 w:type="dxa"/>
          <w:bottom w:w="0" w:type="dxa"/>
          <w:right w:w="10" w:type="dxa"/>
        </w:tblCellMar>
      </w:tblPr>
      <w:tblGrid>
        <w:gridCol w:w="1587"/>
        <w:gridCol w:w="3746"/>
        <w:gridCol w:w="358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jc w:val="center"/>
        </w:trPr>
        <w:tc>
          <w:tcPr>
            <w:tcW w:w="890" w:type="pct"/>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获奖级别</w:t>
            </w:r>
          </w:p>
        </w:tc>
        <w:tc>
          <w:tcPr>
            <w:tcW w:w="2100" w:type="pct"/>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获奖等级</w:t>
            </w:r>
          </w:p>
        </w:tc>
        <w:tc>
          <w:tcPr>
            <w:tcW w:w="2010" w:type="pct"/>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jc w:val="center"/>
        </w:trPr>
        <w:tc>
          <w:tcPr>
            <w:tcW w:w="890" w:type="pct"/>
            <w:vMerge w:val="restar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国家级</w:t>
            </w:r>
          </w:p>
        </w:tc>
        <w:tc>
          <w:tcPr>
            <w:tcW w:w="210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2010" w:type="pct"/>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jc w:val="center"/>
        </w:trPr>
        <w:tc>
          <w:tcPr>
            <w:tcW w:w="890" w:type="pct"/>
            <w:vMerge w:val="continue"/>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10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201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jc w:val="center"/>
        </w:trPr>
        <w:tc>
          <w:tcPr>
            <w:tcW w:w="890" w:type="pct"/>
            <w:vMerge w:val="continue"/>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10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201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jc w:val="center"/>
        </w:trPr>
        <w:tc>
          <w:tcPr>
            <w:tcW w:w="890" w:type="pct"/>
            <w:vMerge w:val="restar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省（市）级</w:t>
            </w:r>
          </w:p>
        </w:tc>
        <w:tc>
          <w:tcPr>
            <w:tcW w:w="210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201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jc w:val="center"/>
        </w:trPr>
        <w:tc>
          <w:tcPr>
            <w:tcW w:w="890" w:type="pct"/>
            <w:vMerge w:val="continue"/>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10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201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jc w:val="center"/>
        </w:trPr>
        <w:tc>
          <w:tcPr>
            <w:tcW w:w="890" w:type="pct"/>
            <w:vMerge w:val="continue"/>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10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201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jc w:val="center"/>
        </w:trPr>
        <w:tc>
          <w:tcPr>
            <w:tcW w:w="890" w:type="pct"/>
            <w:vMerge w:val="restar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校级</w:t>
            </w:r>
          </w:p>
        </w:tc>
        <w:tc>
          <w:tcPr>
            <w:tcW w:w="210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201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jc w:val="center"/>
        </w:trPr>
        <w:tc>
          <w:tcPr>
            <w:tcW w:w="890" w:type="pct"/>
            <w:vMerge w:val="continue"/>
            <w:noWrap w:val="0"/>
            <w:tcMar>
              <w:left w:w="108" w:type="dxa"/>
              <w:right w:w="108" w:type="dxa"/>
            </w:tcMar>
            <w:vAlign w:val="center"/>
          </w:tcPr>
          <w:p>
            <w:pPr>
              <w:spacing w:after="200" w:line="600" w:lineRule="exact"/>
              <w:jc w:val="center"/>
              <w:rPr>
                <w:rFonts w:hint="eastAsia" w:ascii="仿宋_GB2312" w:hAnsi="仿宋_GB2312" w:eastAsia="仿宋_GB2312" w:cs="仿宋_GB2312"/>
                <w:color w:val="auto"/>
                <w:sz w:val="32"/>
                <w:szCs w:val="32"/>
                <w:highlight w:val="none"/>
              </w:rPr>
            </w:pPr>
          </w:p>
        </w:tc>
        <w:tc>
          <w:tcPr>
            <w:tcW w:w="210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201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jc w:val="center"/>
        </w:trPr>
        <w:tc>
          <w:tcPr>
            <w:tcW w:w="890" w:type="pct"/>
            <w:vMerge w:val="continue"/>
            <w:noWrap w:val="0"/>
            <w:tcMar>
              <w:left w:w="108" w:type="dxa"/>
              <w:right w:w="108" w:type="dxa"/>
            </w:tcMar>
            <w:vAlign w:val="center"/>
          </w:tcPr>
          <w:p>
            <w:pPr>
              <w:spacing w:after="200" w:line="600" w:lineRule="exact"/>
              <w:jc w:val="center"/>
              <w:rPr>
                <w:rFonts w:hint="eastAsia" w:ascii="仿宋_GB2312" w:hAnsi="仿宋_GB2312" w:eastAsia="仿宋_GB2312" w:cs="仿宋_GB2312"/>
                <w:color w:val="auto"/>
                <w:sz w:val="32"/>
                <w:szCs w:val="32"/>
                <w:highlight w:val="none"/>
              </w:rPr>
            </w:pPr>
          </w:p>
        </w:tc>
        <w:tc>
          <w:tcPr>
            <w:tcW w:w="210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201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jc w:val="center"/>
        </w:trPr>
        <w:tc>
          <w:tcPr>
            <w:tcW w:w="890" w:type="pct"/>
            <w:vMerge w:val="restart"/>
            <w:noWrap w:val="0"/>
            <w:tcMar>
              <w:left w:w="108" w:type="dxa"/>
              <w:right w:w="108" w:type="dxa"/>
            </w:tcMar>
            <w:vAlign w:val="center"/>
          </w:tcPr>
          <w:p>
            <w:pPr>
              <w:spacing w:after="200"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院级</w:t>
            </w:r>
          </w:p>
        </w:tc>
        <w:tc>
          <w:tcPr>
            <w:tcW w:w="210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2010" w:type="pct"/>
            <w:noWrap w:val="0"/>
            <w:tcMar>
              <w:left w:w="108" w:type="dxa"/>
              <w:right w:w="108" w:type="dxa"/>
            </w:tcMar>
            <w:vAlign w:val="center"/>
          </w:tcPr>
          <w:p>
            <w:pPr>
              <w:spacing w:line="600" w:lineRule="exact"/>
              <w:jc w:val="center"/>
              <w:rPr>
                <w:rFonts w:hint="eastAsia" w:eastAsia="仿宋_GB2312"/>
                <w:color w:val="auto"/>
                <w:sz w:val="32"/>
                <w:szCs w:val="32"/>
                <w:highlight w:val="none"/>
              </w:rPr>
            </w:pPr>
            <w:r>
              <w:rPr>
                <w:rFonts w:eastAsia="仿宋_GB2312"/>
                <w:color w:val="auto"/>
                <w:sz w:val="32"/>
                <w:szCs w:val="32"/>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jc w:val="center"/>
        </w:trPr>
        <w:tc>
          <w:tcPr>
            <w:tcW w:w="890" w:type="pct"/>
            <w:vMerge w:val="continue"/>
            <w:noWrap w:val="0"/>
            <w:tcMar>
              <w:left w:w="108" w:type="dxa"/>
              <w:right w:w="108" w:type="dxa"/>
            </w:tcMar>
            <w:vAlign w:val="center"/>
          </w:tcPr>
          <w:p>
            <w:pPr>
              <w:spacing w:after="200" w:line="600" w:lineRule="exact"/>
              <w:jc w:val="center"/>
              <w:rPr>
                <w:rFonts w:hint="eastAsia" w:ascii="仿宋_GB2312" w:hAnsi="仿宋_GB2312" w:eastAsia="仿宋_GB2312" w:cs="仿宋_GB2312"/>
                <w:color w:val="auto"/>
                <w:sz w:val="32"/>
                <w:szCs w:val="32"/>
                <w:highlight w:val="none"/>
              </w:rPr>
            </w:pPr>
          </w:p>
        </w:tc>
        <w:tc>
          <w:tcPr>
            <w:tcW w:w="210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2010" w:type="pct"/>
            <w:noWrap w:val="0"/>
            <w:tcMar>
              <w:left w:w="108" w:type="dxa"/>
              <w:right w:w="108" w:type="dxa"/>
            </w:tcMar>
            <w:vAlign w:val="center"/>
          </w:tcPr>
          <w:p>
            <w:pPr>
              <w:spacing w:line="600" w:lineRule="exact"/>
              <w:jc w:val="center"/>
              <w:rPr>
                <w:rFonts w:hint="eastAsia" w:eastAsia="仿宋_GB2312"/>
                <w:color w:val="auto"/>
                <w:sz w:val="32"/>
                <w:szCs w:val="32"/>
                <w:highlight w:val="none"/>
              </w:rPr>
            </w:pPr>
            <w:r>
              <w:rPr>
                <w:rFonts w:eastAsia="仿宋_GB2312"/>
                <w:color w:val="auto"/>
                <w:sz w:val="32"/>
                <w:szCs w:val="32"/>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jc w:val="center"/>
        </w:trPr>
        <w:tc>
          <w:tcPr>
            <w:tcW w:w="890" w:type="pct"/>
            <w:vMerge w:val="continue"/>
            <w:noWrap w:val="0"/>
            <w:tcMar>
              <w:left w:w="108" w:type="dxa"/>
              <w:right w:w="108" w:type="dxa"/>
            </w:tcMar>
            <w:vAlign w:val="center"/>
          </w:tcPr>
          <w:p>
            <w:pPr>
              <w:spacing w:after="200" w:line="600" w:lineRule="exact"/>
              <w:jc w:val="center"/>
              <w:rPr>
                <w:rFonts w:hint="eastAsia" w:ascii="仿宋_GB2312" w:hAnsi="仿宋_GB2312" w:eastAsia="仿宋_GB2312" w:cs="仿宋_GB2312"/>
                <w:color w:val="auto"/>
                <w:sz w:val="32"/>
                <w:szCs w:val="32"/>
                <w:highlight w:val="none"/>
              </w:rPr>
            </w:pPr>
          </w:p>
        </w:tc>
        <w:tc>
          <w:tcPr>
            <w:tcW w:w="2100"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2010" w:type="pct"/>
            <w:noWrap w:val="0"/>
            <w:tcMar>
              <w:left w:w="108" w:type="dxa"/>
              <w:right w:w="108" w:type="dxa"/>
            </w:tcMar>
            <w:vAlign w:val="center"/>
          </w:tcPr>
          <w:p>
            <w:pPr>
              <w:spacing w:line="600" w:lineRule="exact"/>
              <w:jc w:val="center"/>
              <w:rPr>
                <w:rFonts w:hint="eastAsia" w:eastAsia="仿宋_GB2312"/>
                <w:color w:val="auto"/>
                <w:sz w:val="32"/>
                <w:szCs w:val="32"/>
                <w:highlight w:val="none"/>
              </w:rPr>
            </w:pPr>
            <w:r>
              <w:rPr>
                <w:rFonts w:eastAsia="仿宋_GB2312"/>
                <w:color w:val="auto"/>
                <w:sz w:val="32"/>
                <w:szCs w:val="32"/>
                <w:highlight w:val="none"/>
              </w:rPr>
              <w:t>1</w:t>
            </w:r>
          </w:p>
        </w:tc>
      </w:tr>
    </w:tbl>
    <w:p>
      <w:pPr>
        <w:spacing w:line="600" w:lineRule="exact"/>
        <w:rPr>
          <w:rFonts w:hint="eastAsia" w:eastAsia="仿宋_GB2312"/>
          <w:color w:val="auto"/>
          <w:sz w:val="32"/>
          <w:szCs w:val="32"/>
          <w:highlight w:val="none"/>
        </w:rPr>
      </w:pPr>
    </w:p>
    <w:p>
      <w:pPr>
        <w:spacing w:line="600" w:lineRule="exact"/>
        <w:ind w:firstLine="640" w:firstLineChars="200"/>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（4）</w:t>
      </w:r>
      <w:r>
        <w:rPr>
          <w:rFonts w:hint="eastAsia" w:ascii="仿宋_GB2312" w:hAnsi="仿宋_GB2312" w:eastAsia="仿宋_GB2312" w:cs="仿宋_GB2312"/>
          <w:color w:val="auto"/>
          <w:sz w:val="32"/>
          <w:szCs w:val="32"/>
          <w:highlight w:val="none"/>
        </w:rPr>
        <w:t>本学年度参加无偿献血者（以献血证时间为准），加</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分/次，累计加分不超过</w:t>
      </w:r>
      <w:r>
        <w:rPr>
          <w:rFonts w:eastAsia="仿宋_GB2312"/>
          <w:color w:val="auto"/>
          <w:sz w:val="32"/>
          <w:szCs w:val="32"/>
          <w:highlight w:val="none"/>
        </w:rPr>
        <w:t>2</w:t>
      </w:r>
      <w:r>
        <w:rPr>
          <w:rFonts w:hint="eastAsia" w:ascii="仿宋_GB2312" w:hAnsi="仿宋_GB2312" w:eastAsia="仿宋_GB2312" w:cs="仿宋_GB2312"/>
          <w:color w:val="auto"/>
          <w:sz w:val="32"/>
          <w:szCs w:val="32"/>
          <w:highlight w:val="none"/>
        </w:rPr>
        <w:t>分。</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（5）积极参与志愿活动，加</w:t>
      </w: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分/次</w:t>
      </w:r>
      <w:r>
        <w:rPr>
          <w:rFonts w:hint="eastAsia" w:ascii="仿宋_GB2312" w:hAnsi="仿宋_GB2312" w:eastAsia="仿宋_GB2312" w:cs="仿宋_GB2312"/>
          <w:color w:val="auto"/>
          <w:sz w:val="32"/>
          <w:szCs w:val="32"/>
          <w:highlight w:val="none"/>
          <w:lang w:val="en-US" w:eastAsia="zh-CN"/>
        </w:rPr>
        <w:t>或0.3分/8小时</w:t>
      </w:r>
      <w:r>
        <w:rPr>
          <w:rFonts w:hint="eastAsia" w:ascii="仿宋_GB2312" w:hAnsi="仿宋_GB2312" w:eastAsia="仿宋_GB2312" w:cs="仿宋_GB2312"/>
          <w:color w:val="auto"/>
          <w:sz w:val="32"/>
          <w:szCs w:val="32"/>
          <w:highlight w:val="none"/>
        </w:rPr>
        <w:t>，累计加分不超过</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分。</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.该项主要以思想道德为主，担任职务、参与比赛获奖不列入此项加分中，但在职务中获得优秀个人可在此项加分。</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2</w:t>
      </w:r>
      <w:r>
        <w:rPr>
          <w:rFonts w:hint="eastAsia" w:ascii="仿宋_GB2312" w:hAnsi="仿宋_GB2312" w:eastAsia="仿宋_GB2312" w:cs="仿宋_GB2312"/>
          <w:color w:val="auto"/>
          <w:sz w:val="32"/>
          <w:szCs w:val="32"/>
          <w:highlight w:val="none"/>
        </w:rPr>
        <w:t>.</w:t>
      </w:r>
      <w:bookmarkStart w:id="0" w:name="_Hlk111195533"/>
      <w:r>
        <w:rPr>
          <w:rFonts w:hint="eastAsia" w:ascii="仿宋_GB2312" w:hAnsi="仿宋_GB2312" w:eastAsia="仿宋_GB2312" w:cs="仿宋_GB2312"/>
          <w:color w:val="auto"/>
          <w:sz w:val="32"/>
          <w:szCs w:val="32"/>
          <w:highlight w:val="none"/>
        </w:rPr>
        <w:t>获奖等级按名次设定，则第</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2</w:t>
      </w:r>
      <w:r>
        <w:rPr>
          <w:rFonts w:hint="eastAsia" w:ascii="仿宋_GB2312" w:hAnsi="仿宋_GB2312" w:eastAsia="仿宋_GB2312" w:cs="仿宋_GB2312"/>
          <w:color w:val="auto"/>
          <w:sz w:val="32"/>
          <w:szCs w:val="32"/>
          <w:highlight w:val="none"/>
        </w:rPr>
        <w:t>名（标兵）以一等奖计；第</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至</w:t>
      </w:r>
      <w:r>
        <w:rPr>
          <w:rFonts w:eastAsia="仿宋_GB2312"/>
          <w:color w:val="auto"/>
          <w:sz w:val="32"/>
          <w:szCs w:val="32"/>
          <w:highlight w:val="none"/>
        </w:rPr>
        <w:t>5</w:t>
      </w:r>
      <w:r>
        <w:rPr>
          <w:rFonts w:hint="eastAsia" w:ascii="仿宋_GB2312" w:hAnsi="仿宋_GB2312" w:eastAsia="仿宋_GB2312" w:cs="仿宋_GB2312"/>
          <w:color w:val="auto"/>
          <w:sz w:val="32"/>
          <w:szCs w:val="32"/>
          <w:highlight w:val="none"/>
        </w:rPr>
        <w:t>名（优秀奖）按二等奖计；第</w:t>
      </w:r>
      <w:r>
        <w:rPr>
          <w:rFonts w:eastAsia="仿宋_GB2312"/>
          <w:color w:val="auto"/>
          <w:sz w:val="32"/>
          <w:szCs w:val="32"/>
          <w:highlight w:val="none"/>
        </w:rPr>
        <w:t>6</w:t>
      </w:r>
      <w:r>
        <w:rPr>
          <w:rFonts w:hint="eastAsia" w:ascii="仿宋_GB2312" w:hAnsi="仿宋_GB2312" w:eastAsia="仿宋_GB2312" w:cs="仿宋_GB2312"/>
          <w:color w:val="auto"/>
          <w:sz w:val="32"/>
          <w:szCs w:val="32"/>
          <w:highlight w:val="none"/>
        </w:rPr>
        <w:t>至</w:t>
      </w:r>
      <w:r>
        <w:rPr>
          <w:rFonts w:eastAsia="仿宋_GB2312"/>
          <w:color w:val="auto"/>
          <w:sz w:val="32"/>
          <w:szCs w:val="32"/>
          <w:highlight w:val="none"/>
        </w:rPr>
        <w:t>8</w:t>
      </w:r>
      <w:r>
        <w:rPr>
          <w:rFonts w:hint="eastAsia" w:ascii="仿宋_GB2312" w:hAnsi="仿宋_GB2312" w:eastAsia="仿宋_GB2312" w:cs="仿宋_GB2312"/>
          <w:color w:val="auto"/>
          <w:sz w:val="32"/>
          <w:szCs w:val="32"/>
          <w:highlight w:val="none"/>
        </w:rPr>
        <w:t>名按三等奖计；未确定获奖等级的奖项按照相应级别奖项的二等奖计算；参加同一活动不同级别的获奖者，以最高分计，不重复计分。同一事迹多次受表彰或表扬的，只取最高级别加分，不累计加分。</w:t>
      </w:r>
    </w:p>
    <w:bookmarkEnd w:id="0"/>
    <w:p>
      <w:pPr>
        <w:numPr>
          <w:ilvl w:val="0"/>
          <w:numId w:val="2"/>
        </w:numPr>
        <w:spacing w:line="600" w:lineRule="exact"/>
        <w:ind w:firstLine="640" w:firstLineChars="200"/>
        <w:rPr>
          <w:rFonts w:hint="eastAsia" w:ascii="仿宋_GB2312" w:hAnsi="楷体_GB2312" w:eastAsia="仿宋_GB2312" w:cs="楷体_GB2312"/>
          <w:color w:val="auto"/>
          <w:sz w:val="32"/>
          <w:szCs w:val="32"/>
          <w:highlight w:val="none"/>
        </w:rPr>
      </w:pPr>
      <w:r>
        <w:rPr>
          <w:rFonts w:hint="eastAsia" w:ascii="仿宋_GB2312" w:hAnsi="楷体_GB2312" w:eastAsia="仿宋_GB2312" w:cs="楷体_GB2312"/>
          <w:color w:val="auto"/>
          <w:sz w:val="32"/>
          <w:szCs w:val="32"/>
          <w:highlight w:val="none"/>
        </w:rPr>
        <w:t>科研成果</w:t>
      </w:r>
    </w:p>
    <w:p>
      <w:pPr>
        <w:spacing w:line="600" w:lineRule="exact"/>
        <w:ind w:firstLine="640" w:firstLineChars="200"/>
        <w:rPr>
          <w:rFonts w:ascii="仿宋_GB2312" w:hAnsi="仿宋_GB2312" w:eastAsia="仿宋_GB2312" w:cs="仿宋_GB2312"/>
          <w:color w:val="auto"/>
          <w:sz w:val="32"/>
          <w:szCs w:val="32"/>
          <w:highlight w:val="none"/>
        </w:rPr>
      </w:pP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.科学研究</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科学研究包括公开发表论文、编写出版著作、科研项目等三个方面，得分为三个方面总和，科学研究成绩计算公式为：   </w:t>
      </w:r>
    </w:p>
    <w:p>
      <w:pPr>
        <w:spacing w:line="480" w:lineRule="auto"/>
        <w:ind w:firstLine="420"/>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科学研究得分=（个人得分/同类型人员</w:t>
      </w:r>
      <w:r>
        <w:rPr>
          <w:rFonts w:hint="eastAsia" w:ascii="仿宋_GB2312" w:hAnsi="仿宋_GB2312" w:eastAsia="仿宋_GB2312" w:cs="仿宋_GB2312"/>
          <w:color w:val="auto"/>
          <w:sz w:val="32"/>
          <w:szCs w:val="32"/>
          <w:highlight w:val="none"/>
          <w:lang w:val="en-US" w:eastAsia="zh-CN"/>
        </w:rPr>
        <w:t>最高得分</w:t>
      </w:r>
      <w:r>
        <w:rPr>
          <w:rFonts w:hint="eastAsia" w:ascii="仿宋_GB2312" w:hAnsi="仿宋_GB2312" w:eastAsia="仿宋_GB2312" w:cs="仿宋_GB2312"/>
          <w:color w:val="auto"/>
          <w:sz w:val="32"/>
          <w:szCs w:val="32"/>
          <w:highlight w:val="none"/>
        </w:rPr>
        <w:t>）×B</w:t>
      </w:r>
    </w:p>
    <w:p>
      <w:pPr>
        <w:tabs>
          <w:tab w:val="left" w:pos="5537"/>
        </w:tabs>
        <w:spacing w:line="600" w:lineRule="exact"/>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B</w:t>
      </w:r>
      <w:r>
        <w:rPr>
          <w:rFonts w:hint="eastAsia" w:ascii="仿宋_GB2312" w:hAnsi="仿宋_GB2312" w:eastAsia="仿宋_GB2312" w:cs="仿宋_GB2312"/>
          <w:color w:val="auto"/>
          <w:sz w:val="32"/>
          <w:szCs w:val="32"/>
          <w:highlight w:val="none"/>
        </w:rPr>
        <w:t>依据表</w:t>
      </w:r>
      <w:r>
        <w:rPr>
          <w:rFonts w:hint="eastAsia" w:eastAsia="仿宋_GB2312"/>
          <w:color w:val="auto"/>
          <w:sz w:val="32"/>
          <w:szCs w:val="32"/>
          <w:highlight w:val="none"/>
        </w:rPr>
        <w:t>3、4</w:t>
      </w:r>
      <w:r>
        <w:rPr>
          <w:rFonts w:hint="eastAsia" w:ascii="仿宋_GB2312" w:hAnsi="仿宋_GB2312" w:eastAsia="仿宋_GB2312" w:cs="仿宋_GB2312"/>
          <w:color w:val="auto"/>
          <w:sz w:val="32"/>
          <w:szCs w:val="32"/>
          <w:highlight w:val="none"/>
        </w:rPr>
        <w:t>选定）</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eastAsia="仿宋_GB2312"/>
          <w:color w:val="auto"/>
          <w:sz w:val="32"/>
          <w:szCs w:val="32"/>
          <w:highlight w:val="none"/>
        </w:rPr>
        <w:t>（</w:t>
      </w:r>
      <w:r>
        <w:rPr>
          <w:rFonts w:eastAsia="仿宋_GB2312"/>
          <w:color w:val="auto"/>
          <w:sz w:val="32"/>
          <w:szCs w:val="32"/>
          <w:highlight w:val="none"/>
        </w:rPr>
        <w:t>1</w:t>
      </w:r>
      <w:r>
        <w:rPr>
          <w:rFonts w:hint="eastAsia" w:eastAsia="仿宋_GB2312"/>
          <w:color w:val="auto"/>
          <w:sz w:val="32"/>
          <w:szCs w:val="32"/>
          <w:highlight w:val="none"/>
        </w:rPr>
        <w:t>）</w:t>
      </w:r>
      <w:r>
        <w:rPr>
          <w:rFonts w:hint="eastAsia" w:ascii="仿宋_GB2312" w:hAnsi="仿宋_GB2312" w:eastAsia="仿宋_GB2312" w:cs="仿宋_GB2312"/>
          <w:color w:val="auto"/>
          <w:sz w:val="32"/>
          <w:szCs w:val="32"/>
          <w:highlight w:val="none"/>
        </w:rPr>
        <w:t>公开发表论文（公开发表的学术论文应与研究方向相关)</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公开发表论文得分＝相应论文级别的基础分×作者系数</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论文等级及基础分如表9所示：</w:t>
      </w:r>
    </w:p>
    <w:p>
      <w:pPr>
        <w:spacing w:line="600" w:lineRule="exact"/>
        <w:ind w:firstLine="640" w:firstLineChars="200"/>
        <w:jc w:val="left"/>
        <w:rPr>
          <w:rFonts w:hint="eastAsia" w:ascii="仿宋_GB2312" w:hAnsi="仿宋_GB2312" w:eastAsia="仿宋_GB2312" w:cs="仿宋_GB2312"/>
          <w:color w:val="auto"/>
          <w:sz w:val="32"/>
          <w:szCs w:val="32"/>
          <w:highlight w:val="none"/>
        </w:rPr>
      </w:pPr>
    </w:p>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表9  加分标准</w:t>
      </w:r>
    </w:p>
    <w:tbl>
      <w:tblPr>
        <w:tblStyle w:val="4"/>
        <w:tblW w:w="4700" w:type="pct"/>
        <w:jc w:val="center"/>
        <w:tblLayout w:type="autofit"/>
        <w:tblCellMar>
          <w:top w:w="0" w:type="dxa"/>
          <w:left w:w="10" w:type="dxa"/>
          <w:bottom w:w="0" w:type="dxa"/>
          <w:right w:w="10" w:type="dxa"/>
        </w:tblCellMar>
      </w:tblPr>
      <w:tblGrid>
        <w:gridCol w:w="5587"/>
        <w:gridCol w:w="3676"/>
      </w:tblGrid>
      <w:tr>
        <w:tblPrEx>
          <w:tblCellMar>
            <w:top w:w="0" w:type="dxa"/>
            <w:left w:w="10" w:type="dxa"/>
            <w:bottom w:w="0" w:type="dxa"/>
            <w:right w:w="10" w:type="dxa"/>
          </w:tblCellMar>
        </w:tblPrEx>
        <w:trPr>
          <w:jc w:val="center"/>
        </w:trPr>
        <w:tc>
          <w:tcPr>
            <w:tcW w:w="3015" w:type="pct"/>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论文级别</w:t>
            </w:r>
          </w:p>
        </w:tc>
        <w:tc>
          <w:tcPr>
            <w:tcW w:w="1984" w:type="pct"/>
            <w:tcBorders>
              <w:top w:val="single" w:color="000000" w:sz="4" w:space="0"/>
              <w:left w:val="single" w:color="000000" w:sz="6" w:space="0"/>
              <w:bottom w:val="single" w:color="000000" w:sz="4" w:space="0"/>
              <w:right w:val="single" w:color="000000" w:sz="4" w:space="0"/>
            </w:tcBorders>
            <w:shd w:val="clear" w:color="000000" w:fill="auto"/>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基础分</w:t>
            </w:r>
          </w:p>
        </w:tc>
      </w:tr>
      <w:tr>
        <w:tblPrEx>
          <w:tblCellMar>
            <w:top w:w="0" w:type="dxa"/>
            <w:left w:w="10" w:type="dxa"/>
            <w:bottom w:w="0" w:type="dxa"/>
            <w:right w:w="10" w:type="dxa"/>
          </w:tblCellMar>
        </w:tblPrEx>
        <w:trPr>
          <w:jc w:val="center"/>
        </w:trPr>
        <w:tc>
          <w:tcPr>
            <w:tcW w:w="3015" w:type="pct"/>
            <w:tcBorders>
              <w:top w:val="single" w:color="000000" w:sz="6"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T</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类</w:t>
            </w:r>
          </w:p>
        </w:tc>
        <w:tc>
          <w:tcPr>
            <w:tcW w:w="1984" w:type="pct"/>
            <w:tcBorders>
              <w:top w:val="single" w:color="000000" w:sz="6" w:space="0"/>
              <w:left w:val="single" w:color="000000" w:sz="6" w:space="0"/>
              <w:bottom w:val="single" w:color="000000" w:sz="4" w:space="0"/>
              <w:right w:val="single" w:color="000000" w:sz="4" w:space="0"/>
            </w:tcBorders>
            <w:shd w:val="clear" w:color="000000" w:fill="auto"/>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hint="eastAsia" w:eastAsia="仿宋_GB2312"/>
                <w:color w:val="auto"/>
                <w:sz w:val="32"/>
                <w:szCs w:val="32"/>
                <w:highlight w:val="none"/>
              </w:rPr>
              <w:t>160</w:t>
            </w:r>
          </w:p>
        </w:tc>
      </w:tr>
      <w:tr>
        <w:tblPrEx>
          <w:tblCellMar>
            <w:top w:w="0" w:type="dxa"/>
            <w:left w:w="10" w:type="dxa"/>
            <w:bottom w:w="0" w:type="dxa"/>
            <w:right w:w="10" w:type="dxa"/>
          </w:tblCellMar>
        </w:tblPrEx>
        <w:trPr>
          <w:jc w:val="center"/>
        </w:trPr>
        <w:tc>
          <w:tcPr>
            <w:tcW w:w="3015" w:type="pct"/>
            <w:tcBorders>
              <w:top w:val="single" w:color="000000" w:sz="6"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T</w:t>
            </w:r>
            <w:r>
              <w:rPr>
                <w:rFonts w:eastAsia="仿宋_GB2312"/>
                <w:color w:val="auto"/>
                <w:sz w:val="32"/>
                <w:szCs w:val="32"/>
                <w:highlight w:val="none"/>
              </w:rPr>
              <w:t>2</w:t>
            </w:r>
            <w:r>
              <w:rPr>
                <w:rFonts w:hint="eastAsia" w:ascii="仿宋_GB2312" w:hAnsi="仿宋_GB2312" w:eastAsia="仿宋_GB2312" w:cs="仿宋_GB2312"/>
                <w:color w:val="auto"/>
                <w:sz w:val="32"/>
                <w:szCs w:val="32"/>
                <w:highlight w:val="none"/>
              </w:rPr>
              <w:t>类</w:t>
            </w:r>
          </w:p>
        </w:tc>
        <w:tc>
          <w:tcPr>
            <w:tcW w:w="1984" w:type="pct"/>
            <w:tcBorders>
              <w:top w:val="single" w:color="000000" w:sz="6" w:space="0"/>
              <w:left w:val="single" w:color="000000" w:sz="6" w:space="0"/>
              <w:bottom w:val="single" w:color="000000" w:sz="4" w:space="0"/>
              <w:right w:val="single" w:color="000000" w:sz="4" w:space="0"/>
            </w:tcBorders>
            <w:shd w:val="clear" w:color="000000" w:fill="auto"/>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80</w:t>
            </w:r>
          </w:p>
        </w:tc>
      </w:tr>
      <w:tr>
        <w:tblPrEx>
          <w:tblCellMar>
            <w:top w:w="0" w:type="dxa"/>
            <w:left w:w="10" w:type="dxa"/>
            <w:bottom w:w="0" w:type="dxa"/>
            <w:right w:w="10" w:type="dxa"/>
          </w:tblCellMar>
        </w:tblPrEx>
        <w:trPr>
          <w:jc w:val="center"/>
        </w:trPr>
        <w:tc>
          <w:tcPr>
            <w:tcW w:w="3015" w:type="pct"/>
            <w:tcBorders>
              <w:top w:val="single" w:color="000000" w:sz="6" w:space="0"/>
              <w:left w:val="single" w:color="000000" w:sz="4" w:space="0"/>
              <w:bottom w:val="single" w:color="000000" w:sz="6" w:space="0"/>
              <w:right w:val="single" w:color="000000" w:sz="4" w:space="0"/>
            </w:tcBorders>
            <w:shd w:val="clear" w:color="000000" w:fill="auto"/>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A类</w:t>
            </w:r>
          </w:p>
        </w:tc>
        <w:tc>
          <w:tcPr>
            <w:tcW w:w="1984" w:type="pct"/>
            <w:tcBorders>
              <w:top w:val="single" w:color="000000" w:sz="6" w:space="0"/>
              <w:left w:val="single" w:color="000000" w:sz="6" w:space="0"/>
              <w:bottom w:val="single" w:color="000000" w:sz="6" w:space="0"/>
              <w:right w:val="single" w:color="000000" w:sz="4" w:space="0"/>
            </w:tcBorders>
            <w:shd w:val="clear" w:color="000000" w:fill="auto"/>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40</w:t>
            </w:r>
          </w:p>
        </w:tc>
      </w:tr>
      <w:tr>
        <w:tblPrEx>
          <w:tblCellMar>
            <w:top w:w="0" w:type="dxa"/>
            <w:left w:w="10" w:type="dxa"/>
            <w:bottom w:w="0" w:type="dxa"/>
            <w:right w:w="10" w:type="dxa"/>
          </w:tblCellMar>
        </w:tblPrEx>
        <w:trPr>
          <w:jc w:val="center"/>
        </w:trPr>
        <w:tc>
          <w:tcPr>
            <w:tcW w:w="3015" w:type="pct"/>
            <w:tcBorders>
              <w:top w:val="single" w:color="000000" w:sz="6" w:space="0"/>
              <w:left w:val="single" w:color="000000" w:sz="4" w:space="0"/>
              <w:bottom w:val="single" w:color="000000" w:sz="6" w:space="0"/>
              <w:right w:val="single" w:color="000000" w:sz="4" w:space="0"/>
            </w:tcBorders>
            <w:shd w:val="clear" w:color="000000" w:fill="auto"/>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B类</w:t>
            </w:r>
          </w:p>
        </w:tc>
        <w:tc>
          <w:tcPr>
            <w:tcW w:w="1984" w:type="pct"/>
            <w:tcBorders>
              <w:top w:val="single" w:color="000000" w:sz="6" w:space="0"/>
              <w:left w:val="single" w:color="000000" w:sz="6" w:space="0"/>
              <w:bottom w:val="single" w:color="000000" w:sz="6" w:space="0"/>
              <w:right w:val="single" w:color="000000" w:sz="4" w:space="0"/>
            </w:tcBorders>
            <w:shd w:val="clear" w:color="000000" w:fill="auto"/>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20</w:t>
            </w:r>
          </w:p>
        </w:tc>
      </w:tr>
      <w:tr>
        <w:tblPrEx>
          <w:tblCellMar>
            <w:top w:w="0" w:type="dxa"/>
            <w:left w:w="10" w:type="dxa"/>
            <w:bottom w:w="0" w:type="dxa"/>
            <w:right w:w="10" w:type="dxa"/>
          </w:tblCellMar>
        </w:tblPrEx>
        <w:trPr>
          <w:jc w:val="center"/>
        </w:trPr>
        <w:tc>
          <w:tcPr>
            <w:tcW w:w="3015" w:type="pct"/>
            <w:tcBorders>
              <w:top w:val="single" w:color="000000" w:sz="6"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C类</w:t>
            </w:r>
          </w:p>
        </w:tc>
        <w:tc>
          <w:tcPr>
            <w:tcW w:w="1984" w:type="pct"/>
            <w:tcBorders>
              <w:top w:val="single" w:color="000000" w:sz="6" w:space="0"/>
              <w:left w:val="single" w:color="000000" w:sz="6" w:space="0"/>
              <w:bottom w:val="single" w:color="000000" w:sz="4" w:space="0"/>
              <w:right w:val="single" w:color="000000" w:sz="4" w:space="0"/>
            </w:tcBorders>
            <w:shd w:val="clear" w:color="000000" w:fill="auto"/>
            <w:noWrap w:val="0"/>
            <w:tcMar>
              <w:left w:w="108" w:type="dxa"/>
              <w:right w:w="108" w:type="dxa"/>
            </w:tcMar>
            <w:vAlign w:val="center"/>
          </w:tcPr>
          <w:p>
            <w:pPr>
              <w:spacing w:line="600" w:lineRule="exact"/>
              <w:jc w:val="center"/>
              <w:rPr>
                <w:rFonts w:eastAsia="仿宋_GB2312"/>
                <w:color w:val="auto"/>
                <w:sz w:val="32"/>
                <w:szCs w:val="32"/>
                <w:highlight w:val="none"/>
              </w:rPr>
            </w:pPr>
            <w:r>
              <w:rPr>
                <w:rFonts w:eastAsia="仿宋_GB2312"/>
                <w:color w:val="auto"/>
                <w:sz w:val="32"/>
                <w:szCs w:val="32"/>
                <w:highlight w:val="none"/>
              </w:rPr>
              <w:t>10</w:t>
            </w:r>
          </w:p>
        </w:tc>
      </w:tr>
    </w:tbl>
    <w:p>
      <w:pPr>
        <w:widowControl/>
        <w:spacing w:line="600" w:lineRule="exact"/>
        <w:ind w:firstLine="640" w:firstLineChars="200"/>
        <w:rPr>
          <w:rFonts w:hint="eastAsia" w:ascii="仿宋_GB2312" w:hAnsi="仿宋_GB2312" w:eastAsia="仿宋_GB2312" w:cs="仿宋_GB2312"/>
          <w:color w:val="auto"/>
          <w:sz w:val="32"/>
          <w:szCs w:val="32"/>
          <w:highlight w:val="none"/>
        </w:rPr>
      </w:pPr>
    </w:p>
    <w:p>
      <w:pPr>
        <w:widowControl/>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1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①</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公开发表：刊物有纸质版，须提交纸质版材料，刊物只有网络版的，以网络版最终发表时间为准。</w:t>
      </w:r>
      <w:r>
        <w:rPr>
          <w:rFonts w:hint="eastAsia" w:ascii="仿宋_GB2312" w:hAnsi="仿宋_GB2312" w:eastAsia="仿宋_GB2312" w:cs="仿宋_GB2312"/>
          <w:color w:val="auto"/>
          <w:kern w:val="0"/>
          <w:sz w:val="32"/>
          <w:szCs w:val="32"/>
          <w:highlight w:val="none"/>
        </w:rPr>
        <w:t>论文等级参考《华南农业大学学术论文评价方案》（华南农办〔</w:t>
      </w:r>
      <w:r>
        <w:rPr>
          <w:rFonts w:eastAsia="仿宋_GB2312"/>
          <w:color w:val="auto"/>
          <w:kern w:val="0"/>
          <w:sz w:val="32"/>
          <w:szCs w:val="32"/>
          <w:highlight w:val="none"/>
        </w:rPr>
        <w:t>2021</w:t>
      </w:r>
      <w:r>
        <w:rPr>
          <w:rFonts w:hint="eastAsia" w:ascii="仿宋_GB2312" w:hAnsi="仿宋_GB2312" w:eastAsia="仿宋_GB2312" w:cs="仿宋_GB2312"/>
          <w:color w:val="auto"/>
          <w:kern w:val="0"/>
          <w:sz w:val="32"/>
          <w:szCs w:val="32"/>
          <w:highlight w:val="none"/>
        </w:rPr>
        <w:t>〕</w:t>
      </w:r>
      <w:r>
        <w:rPr>
          <w:rFonts w:eastAsia="仿宋_GB2312"/>
          <w:color w:val="auto"/>
          <w:kern w:val="0"/>
          <w:sz w:val="32"/>
          <w:szCs w:val="32"/>
          <w:highlight w:val="none"/>
        </w:rPr>
        <w:t>27</w:t>
      </w:r>
      <w:r>
        <w:rPr>
          <w:rFonts w:hint="eastAsia" w:ascii="仿宋_GB2312" w:hAnsi="仿宋_GB2312" w:eastAsia="仿宋_GB2312" w:cs="仿宋_GB2312"/>
          <w:color w:val="auto"/>
          <w:kern w:val="0"/>
          <w:sz w:val="32"/>
          <w:szCs w:val="32"/>
          <w:highlight w:val="none"/>
        </w:rPr>
        <w:t xml:space="preserve"> 号），</w:t>
      </w:r>
      <w:r>
        <w:rPr>
          <w:rFonts w:hint="eastAsia" w:ascii="仿宋_GB2312" w:hAnsi="仿宋_GB2312" w:eastAsia="仿宋_GB2312" w:cs="仿宋_GB2312"/>
          <w:color w:val="auto"/>
          <w:sz w:val="32"/>
          <w:szCs w:val="32"/>
          <w:highlight w:val="none"/>
        </w:rPr>
        <w:t>增刊发表的论文、会议论文不加分。</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2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②</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 xml:space="preserve"> 作者系数：第一作者为</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，第二作者为</w:t>
      </w: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5</w:t>
      </w:r>
      <w:r>
        <w:rPr>
          <w:rFonts w:hint="eastAsia" w:ascii="仿宋_GB2312" w:hAnsi="仿宋_GB2312" w:eastAsia="仿宋_GB2312" w:cs="仿宋_GB2312"/>
          <w:color w:val="auto"/>
          <w:sz w:val="32"/>
          <w:szCs w:val="32"/>
          <w:highlight w:val="none"/>
        </w:rPr>
        <w:t>，其他为</w:t>
      </w: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（若第一作者为导师，第二作者可认定为第一作者，其余作者排名不往前递补）。</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eastAsia="仿宋_GB2312"/>
          <w:color w:val="auto"/>
          <w:sz w:val="32"/>
          <w:szCs w:val="32"/>
          <w:highlight w:val="none"/>
        </w:rPr>
        <w:t>（</w:t>
      </w:r>
      <w:r>
        <w:rPr>
          <w:rFonts w:eastAsia="仿宋_GB2312"/>
          <w:color w:val="auto"/>
          <w:sz w:val="32"/>
          <w:szCs w:val="32"/>
          <w:highlight w:val="none"/>
        </w:rPr>
        <w:t>2</w:t>
      </w:r>
      <w:r>
        <w:rPr>
          <w:rFonts w:hint="eastAsia" w:eastAsia="仿宋_GB2312"/>
          <w:color w:val="auto"/>
          <w:sz w:val="32"/>
          <w:szCs w:val="32"/>
          <w:highlight w:val="none"/>
        </w:rPr>
        <w:t>）</w:t>
      </w:r>
      <w:r>
        <w:rPr>
          <w:rFonts w:hint="eastAsia" w:ascii="仿宋_GB2312" w:hAnsi="仿宋_GB2312" w:eastAsia="仿宋_GB2312" w:cs="仿宋_GB2312"/>
          <w:color w:val="auto"/>
          <w:sz w:val="32"/>
          <w:szCs w:val="32"/>
          <w:highlight w:val="none"/>
        </w:rPr>
        <w:t>编写出版著作（正式出版与研究方向有关的著作）</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编写出版著作具体得分如表10所示：</w:t>
      </w:r>
    </w:p>
    <w:p>
      <w:pPr>
        <w:spacing w:line="600" w:lineRule="exact"/>
        <w:ind w:firstLine="640" w:firstLineChars="200"/>
        <w:jc w:val="left"/>
        <w:rPr>
          <w:rFonts w:hint="eastAsia" w:ascii="仿宋_GB2312" w:hAnsi="仿宋_GB2312" w:eastAsia="仿宋_GB2312" w:cs="仿宋_GB2312"/>
          <w:color w:val="auto"/>
          <w:sz w:val="32"/>
          <w:szCs w:val="32"/>
          <w:highlight w:val="none"/>
        </w:rPr>
      </w:pPr>
    </w:p>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表10  加分标准</w:t>
      </w:r>
    </w:p>
    <w:tbl>
      <w:tblPr>
        <w:tblStyle w:val="4"/>
        <w:tblW w:w="4519" w:type="pct"/>
        <w:jc w:val="center"/>
        <w:tblLayout w:type="autofit"/>
        <w:tblCellMar>
          <w:top w:w="0" w:type="dxa"/>
          <w:left w:w="10" w:type="dxa"/>
          <w:bottom w:w="0" w:type="dxa"/>
          <w:right w:w="10" w:type="dxa"/>
        </w:tblCellMar>
      </w:tblPr>
      <w:tblGrid>
        <w:gridCol w:w="5010"/>
        <w:gridCol w:w="3896"/>
      </w:tblGrid>
      <w:tr>
        <w:tblPrEx>
          <w:tblCellMar>
            <w:top w:w="0" w:type="dxa"/>
            <w:left w:w="10" w:type="dxa"/>
            <w:bottom w:w="0" w:type="dxa"/>
            <w:right w:w="10" w:type="dxa"/>
          </w:tblCellMar>
        </w:tblPrEx>
        <w:trPr>
          <w:jc w:val="center"/>
        </w:trPr>
        <w:tc>
          <w:tcPr>
            <w:tcW w:w="2812"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承担任务</w:t>
            </w:r>
          </w:p>
        </w:tc>
        <w:tc>
          <w:tcPr>
            <w:tcW w:w="218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得分</w:t>
            </w:r>
          </w:p>
        </w:tc>
      </w:tr>
      <w:tr>
        <w:tblPrEx>
          <w:tblCellMar>
            <w:top w:w="0" w:type="dxa"/>
            <w:left w:w="10" w:type="dxa"/>
            <w:bottom w:w="0" w:type="dxa"/>
            <w:right w:w="10" w:type="dxa"/>
          </w:tblCellMar>
        </w:tblPrEx>
        <w:trPr>
          <w:jc w:val="center"/>
        </w:trPr>
        <w:tc>
          <w:tcPr>
            <w:tcW w:w="2812"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参编章节</w:t>
            </w:r>
          </w:p>
        </w:tc>
        <w:tc>
          <w:tcPr>
            <w:tcW w:w="218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2</w:t>
            </w:r>
          </w:p>
        </w:tc>
      </w:tr>
      <w:tr>
        <w:tblPrEx>
          <w:tblCellMar>
            <w:top w:w="0" w:type="dxa"/>
            <w:left w:w="10" w:type="dxa"/>
            <w:bottom w:w="0" w:type="dxa"/>
            <w:right w:w="10" w:type="dxa"/>
          </w:tblCellMar>
        </w:tblPrEx>
        <w:trPr>
          <w:jc w:val="center"/>
        </w:trPr>
        <w:tc>
          <w:tcPr>
            <w:tcW w:w="2812"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主要编委成员</w:t>
            </w:r>
          </w:p>
        </w:tc>
        <w:tc>
          <w:tcPr>
            <w:tcW w:w="218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4</w:t>
            </w:r>
          </w:p>
        </w:tc>
      </w:tr>
      <w:tr>
        <w:tblPrEx>
          <w:tblCellMar>
            <w:top w:w="0" w:type="dxa"/>
            <w:left w:w="10" w:type="dxa"/>
            <w:bottom w:w="0" w:type="dxa"/>
            <w:right w:w="10" w:type="dxa"/>
          </w:tblCellMar>
        </w:tblPrEx>
        <w:trPr>
          <w:jc w:val="center"/>
        </w:trPr>
        <w:tc>
          <w:tcPr>
            <w:tcW w:w="2812"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副主编</w:t>
            </w:r>
          </w:p>
        </w:tc>
        <w:tc>
          <w:tcPr>
            <w:tcW w:w="218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5</w:t>
            </w:r>
          </w:p>
        </w:tc>
      </w:tr>
      <w:tr>
        <w:tblPrEx>
          <w:tblCellMar>
            <w:top w:w="0" w:type="dxa"/>
            <w:left w:w="10" w:type="dxa"/>
            <w:bottom w:w="0" w:type="dxa"/>
            <w:right w:w="10" w:type="dxa"/>
          </w:tblCellMar>
        </w:tblPrEx>
        <w:trPr>
          <w:jc w:val="center"/>
        </w:trPr>
        <w:tc>
          <w:tcPr>
            <w:tcW w:w="2812"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主编或专著第二作者</w:t>
            </w:r>
          </w:p>
        </w:tc>
        <w:tc>
          <w:tcPr>
            <w:tcW w:w="218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8</w:t>
            </w:r>
          </w:p>
        </w:tc>
      </w:tr>
      <w:tr>
        <w:tblPrEx>
          <w:tblCellMar>
            <w:top w:w="0" w:type="dxa"/>
            <w:left w:w="10" w:type="dxa"/>
            <w:bottom w:w="0" w:type="dxa"/>
            <w:right w:w="10" w:type="dxa"/>
          </w:tblCellMar>
        </w:tblPrEx>
        <w:trPr>
          <w:jc w:val="center"/>
        </w:trPr>
        <w:tc>
          <w:tcPr>
            <w:tcW w:w="2812"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专著第一作者</w:t>
            </w:r>
          </w:p>
        </w:tc>
        <w:tc>
          <w:tcPr>
            <w:tcW w:w="218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12</w:t>
            </w:r>
          </w:p>
        </w:tc>
      </w:tr>
      <w:tr>
        <w:tblPrEx>
          <w:tblCellMar>
            <w:top w:w="0" w:type="dxa"/>
            <w:left w:w="10" w:type="dxa"/>
            <w:bottom w:w="0" w:type="dxa"/>
            <w:right w:w="10" w:type="dxa"/>
          </w:tblCellMar>
        </w:tblPrEx>
        <w:trPr>
          <w:jc w:val="center"/>
        </w:trPr>
        <w:tc>
          <w:tcPr>
            <w:tcW w:w="2812"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独立专著</w:t>
            </w:r>
          </w:p>
        </w:tc>
        <w:tc>
          <w:tcPr>
            <w:tcW w:w="218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15</w:t>
            </w:r>
          </w:p>
        </w:tc>
      </w:tr>
    </w:tbl>
    <w:p>
      <w:pPr>
        <w:spacing w:line="600" w:lineRule="exact"/>
        <w:ind w:firstLine="640" w:firstLineChars="200"/>
        <w:jc w:val="left"/>
        <w:rPr>
          <w:rFonts w:hint="eastAsia" w:eastAsia="仿宋_GB2312"/>
          <w:color w:val="auto"/>
          <w:sz w:val="32"/>
          <w:szCs w:val="32"/>
          <w:highlight w:val="none"/>
        </w:rPr>
      </w:pPr>
    </w:p>
    <w:p>
      <w:pPr>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w:t>
      </w:r>
      <w:r>
        <w:rPr>
          <w:rFonts w:eastAsia="仿宋_GB2312"/>
          <w:color w:val="auto"/>
          <w:sz w:val="32"/>
          <w:szCs w:val="32"/>
          <w:highlight w:val="none"/>
        </w:rPr>
        <w:t>3</w:t>
      </w:r>
      <w:r>
        <w:rPr>
          <w:rFonts w:hint="eastAsia" w:eastAsia="仿宋_GB2312"/>
          <w:color w:val="auto"/>
          <w:sz w:val="32"/>
          <w:szCs w:val="32"/>
          <w:highlight w:val="none"/>
        </w:rPr>
        <w:t>）科研项目</w:t>
      </w:r>
    </w:p>
    <w:p>
      <w:pPr>
        <w:spacing w:line="600" w:lineRule="exact"/>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科研项目得分=相应项目层次的基础分×参加系数</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科研项目具体得分如表11所示：</w:t>
      </w:r>
    </w:p>
    <w:p>
      <w:pPr>
        <w:spacing w:line="600" w:lineRule="exact"/>
        <w:ind w:firstLine="640" w:firstLineChars="200"/>
        <w:jc w:val="left"/>
        <w:rPr>
          <w:rFonts w:hint="eastAsia" w:ascii="仿宋_GB2312" w:hAnsi="仿宋_GB2312" w:eastAsia="仿宋_GB2312" w:cs="仿宋_GB2312"/>
          <w:color w:val="auto"/>
          <w:sz w:val="32"/>
          <w:szCs w:val="32"/>
          <w:highlight w:val="none"/>
        </w:rPr>
      </w:pPr>
    </w:p>
    <w:p>
      <w:pPr>
        <w:spacing w:line="600" w:lineRule="exact"/>
        <w:ind w:firstLine="640" w:firstLineChars="200"/>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表11  加分标准</w:t>
      </w:r>
    </w:p>
    <w:tbl>
      <w:tblPr>
        <w:tblStyle w:val="4"/>
        <w:tblW w:w="22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153"/>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76"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val="en-US" w:eastAsia="zh-CN"/>
              </w:rPr>
              <w:t>级别</w:t>
            </w:r>
          </w:p>
        </w:tc>
        <w:tc>
          <w:tcPr>
            <w:tcW w:w="2623"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376" w:type="pct"/>
            <w:noWrap w:val="0"/>
            <w:tcMar>
              <w:left w:w="108" w:type="dxa"/>
              <w:right w:w="108" w:type="dxa"/>
            </w:tcMar>
            <w:vAlign w:val="center"/>
          </w:tcPr>
          <w:p>
            <w:pPr>
              <w:spacing w:line="60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国家（部）级</w:t>
            </w:r>
          </w:p>
        </w:tc>
        <w:tc>
          <w:tcPr>
            <w:tcW w:w="2623" w:type="pct"/>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376" w:type="pct"/>
            <w:noWrap w:val="0"/>
            <w:tcMar>
              <w:left w:w="108" w:type="dxa"/>
              <w:right w:w="108" w:type="dxa"/>
            </w:tcMar>
            <w:vAlign w:val="center"/>
          </w:tcPr>
          <w:p>
            <w:pPr>
              <w:spacing w:line="60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省（市）级</w:t>
            </w:r>
          </w:p>
        </w:tc>
        <w:tc>
          <w:tcPr>
            <w:tcW w:w="2623" w:type="pct"/>
            <w:noWrap w:val="0"/>
            <w:tcMar>
              <w:left w:w="108" w:type="dxa"/>
              <w:right w:w="108" w:type="dxa"/>
            </w:tcMar>
            <w:vAlign w:val="center"/>
          </w:tcPr>
          <w:p>
            <w:pPr>
              <w:spacing w:line="600" w:lineRule="exact"/>
              <w:jc w:val="center"/>
              <w:rPr>
                <w:rFonts w:eastAsia="仿宋_GB2312"/>
                <w:color w:val="auto"/>
                <w:sz w:val="32"/>
                <w:szCs w:val="32"/>
                <w:highlight w:val="none"/>
              </w:rPr>
            </w:pPr>
            <w:r>
              <w:rPr>
                <w:rFonts w:eastAsia="仿宋_GB2312"/>
                <w:color w:val="auto"/>
                <w:sz w:val="32"/>
                <w:szCs w:val="3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376" w:type="pct"/>
            <w:noWrap w:val="0"/>
            <w:tcMar>
              <w:left w:w="108" w:type="dxa"/>
              <w:right w:w="108" w:type="dxa"/>
            </w:tcMar>
            <w:vAlign w:val="center"/>
          </w:tcPr>
          <w:p>
            <w:pPr>
              <w:spacing w:line="60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校级</w:t>
            </w:r>
          </w:p>
        </w:tc>
        <w:tc>
          <w:tcPr>
            <w:tcW w:w="2623" w:type="pct"/>
            <w:noWrap w:val="0"/>
            <w:tcMar>
              <w:left w:w="108" w:type="dxa"/>
              <w:right w:w="108" w:type="dxa"/>
            </w:tcMar>
            <w:vAlign w:val="center"/>
          </w:tcPr>
          <w:p>
            <w:pPr>
              <w:spacing w:line="600" w:lineRule="exact"/>
              <w:jc w:val="center"/>
              <w:rPr>
                <w:rFonts w:eastAsia="仿宋_GB2312"/>
                <w:color w:val="auto"/>
                <w:sz w:val="32"/>
                <w:szCs w:val="32"/>
                <w:highlight w:val="none"/>
              </w:rPr>
            </w:pPr>
            <w:r>
              <w:rPr>
                <w:rFonts w:eastAsia="仿宋_GB2312"/>
                <w:color w:val="auto"/>
                <w:sz w:val="32"/>
                <w:szCs w:val="32"/>
                <w:highlight w:val="none"/>
              </w:rPr>
              <w:t>6</w:t>
            </w:r>
          </w:p>
        </w:tc>
      </w:tr>
    </w:tbl>
    <w:p>
      <w:pPr>
        <w:widowControl/>
        <w:spacing w:line="600" w:lineRule="exact"/>
        <w:ind w:left="284" w:firstLine="640" w:firstLineChars="200"/>
        <w:jc w:val="left"/>
        <w:rPr>
          <w:rFonts w:hint="eastAsia" w:ascii="仿宋_GB2312" w:hAnsi="仿宋_GB2312" w:eastAsia="仿宋_GB2312" w:cs="仿宋_GB2312"/>
          <w:color w:val="auto"/>
          <w:sz w:val="32"/>
          <w:szCs w:val="32"/>
          <w:highlight w:val="none"/>
        </w:rPr>
      </w:pPr>
    </w:p>
    <w:p>
      <w:pPr>
        <w:widowControl/>
        <w:spacing w:line="600" w:lineRule="exact"/>
        <w:ind w:left="284" w:firstLine="624" w:firstLineChars="200"/>
        <w:jc w:val="left"/>
        <w:rPr>
          <w:rFonts w:hint="eastAsia" w:ascii="仿宋_GB2312" w:hAnsi="仿宋_GB2312" w:eastAsia="仿宋_GB2312" w:cs="仿宋_GB2312"/>
          <w:color w:val="auto"/>
          <w:kern w:val="0"/>
          <w:sz w:val="32"/>
          <w:szCs w:val="32"/>
          <w:highlight w:val="none"/>
        </w:rPr>
      </w:pPr>
      <w:r>
        <w:rPr>
          <w:rFonts w:ascii="微软雅黑" w:hAnsi="微软雅黑" w:eastAsia="微软雅黑"/>
          <w:color w:val="auto"/>
          <w:spacing w:val="-4"/>
          <w:sz w:val="32"/>
          <w:szCs w:val="32"/>
          <w:highlight w:val="none"/>
        </w:rPr>
        <w:fldChar w:fldCharType="begin"/>
      </w:r>
      <w:r>
        <w:rPr>
          <w:rFonts w:ascii="微软雅黑" w:hAnsi="微软雅黑" w:eastAsia="微软雅黑"/>
          <w:color w:val="auto"/>
          <w:spacing w:val="-4"/>
          <w:sz w:val="32"/>
          <w:szCs w:val="32"/>
          <w:highlight w:val="none"/>
        </w:rPr>
        <w:instrText xml:space="preserve"> </w:instrText>
      </w:r>
      <w:r>
        <w:rPr>
          <w:rFonts w:hint="eastAsia" w:ascii="微软雅黑" w:hAnsi="微软雅黑" w:eastAsia="微软雅黑"/>
          <w:color w:val="auto"/>
          <w:spacing w:val="-4"/>
          <w:sz w:val="32"/>
          <w:szCs w:val="32"/>
          <w:highlight w:val="none"/>
        </w:rPr>
        <w:instrText xml:space="preserve">= 1 \* GB3</w:instrText>
      </w:r>
      <w:r>
        <w:rPr>
          <w:rFonts w:ascii="微软雅黑" w:hAnsi="微软雅黑" w:eastAsia="微软雅黑"/>
          <w:color w:val="auto"/>
          <w:spacing w:val="-4"/>
          <w:sz w:val="32"/>
          <w:szCs w:val="32"/>
          <w:highlight w:val="none"/>
        </w:rPr>
        <w:instrText xml:space="preserve"> </w:instrText>
      </w:r>
      <w:r>
        <w:rPr>
          <w:rFonts w:ascii="微软雅黑" w:hAnsi="微软雅黑" w:eastAsia="微软雅黑"/>
          <w:color w:val="auto"/>
          <w:spacing w:val="-4"/>
          <w:sz w:val="32"/>
          <w:szCs w:val="32"/>
          <w:highlight w:val="none"/>
        </w:rPr>
        <w:fldChar w:fldCharType="separate"/>
      </w:r>
      <w:r>
        <w:rPr>
          <w:rFonts w:hint="eastAsia" w:ascii="微软雅黑" w:hAnsi="微软雅黑" w:eastAsia="微软雅黑"/>
          <w:color w:val="auto"/>
          <w:spacing w:val="-4"/>
          <w:sz w:val="32"/>
          <w:szCs w:val="32"/>
          <w:highlight w:val="none"/>
        </w:rPr>
        <w:t>①</w:t>
      </w:r>
      <w:r>
        <w:rPr>
          <w:rFonts w:ascii="微软雅黑" w:hAnsi="微软雅黑" w:eastAsia="微软雅黑"/>
          <w:color w:val="auto"/>
          <w:spacing w:val="-4"/>
          <w:sz w:val="32"/>
          <w:szCs w:val="32"/>
          <w:highlight w:val="none"/>
        </w:rPr>
        <w:fldChar w:fldCharType="end"/>
      </w:r>
      <w:r>
        <w:rPr>
          <w:rFonts w:hint="eastAsia" w:ascii="仿宋_GB2312" w:hAnsi="仿宋_GB2312" w:eastAsia="仿宋_GB2312" w:cs="仿宋_GB2312"/>
          <w:color w:val="auto"/>
          <w:sz w:val="32"/>
          <w:szCs w:val="32"/>
          <w:highlight w:val="none"/>
        </w:rPr>
        <w:t>同一项目只能计分一次，不得重复加分，以科研项目立项书参研人员名单为依据加分，需提供项目书首页，参研人员名单及加盖公章页。</w:t>
      </w:r>
      <w:r>
        <w:rPr>
          <w:rFonts w:hint="eastAsia" w:ascii="仿宋_GB2312" w:hAnsi="仿宋_GB2312" w:eastAsia="仿宋_GB2312" w:cs="仿宋_GB2312"/>
          <w:color w:val="auto"/>
          <w:kern w:val="0"/>
          <w:sz w:val="32"/>
          <w:szCs w:val="32"/>
          <w:highlight w:val="none"/>
        </w:rPr>
        <w:t>其中项目的横向课题不加分。</w:t>
      </w:r>
    </w:p>
    <w:p>
      <w:pPr>
        <w:widowControl/>
        <w:spacing w:line="600" w:lineRule="exact"/>
        <w:ind w:left="284" w:firstLine="624" w:firstLineChars="200"/>
        <w:jc w:val="left"/>
        <w:rPr>
          <w:rFonts w:hint="eastAsia" w:ascii="仿宋_GB2312" w:hAnsi="仿宋_GB2312" w:eastAsia="仿宋_GB2312" w:cs="仿宋_GB2312"/>
          <w:color w:val="auto"/>
          <w:kern w:val="0"/>
          <w:sz w:val="32"/>
          <w:szCs w:val="32"/>
          <w:highlight w:val="none"/>
        </w:rPr>
      </w:pPr>
      <w:r>
        <w:rPr>
          <w:rFonts w:ascii="微软雅黑" w:hAnsi="微软雅黑" w:eastAsia="微软雅黑"/>
          <w:color w:val="auto"/>
          <w:spacing w:val="-4"/>
          <w:sz w:val="32"/>
          <w:szCs w:val="32"/>
          <w:highlight w:val="none"/>
        </w:rPr>
        <w:fldChar w:fldCharType="begin"/>
      </w:r>
      <w:r>
        <w:rPr>
          <w:rFonts w:ascii="微软雅黑" w:hAnsi="微软雅黑" w:eastAsia="微软雅黑"/>
          <w:color w:val="auto"/>
          <w:spacing w:val="-4"/>
          <w:sz w:val="32"/>
          <w:szCs w:val="32"/>
          <w:highlight w:val="none"/>
        </w:rPr>
        <w:instrText xml:space="preserve"> </w:instrText>
      </w:r>
      <w:r>
        <w:rPr>
          <w:rFonts w:hint="eastAsia" w:ascii="微软雅黑" w:hAnsi="微软雅黑" w:eastAsia="微软雅黑"/>
          <w:color w:val="auto"/>
          <w:spacing w:val="-4"/>
          <w:sz w:val="32"/>
          <w:szCs w:val="32"/>
          <w:highlight w:val="none"/>
        </w:rPr>
        <w:instrText xml:space="preserve">= 2 \* GB3</w:instrText>
      </w:r>
      <w:r>
        <w:rPr>
          <w:rFonts w:ascii="微软雅黑" w:hAnsi="微软雅黑" w:eastAsia="微软雅黑"/>
          <w:color w:val="auto"/>
          <w:spacing w:val="-4"/>
          <w:sz w:val="32"/>
          <w:szCs w:val="32"/>
          <w:highlight w:val="none"/>
        </w:rPr>
        <w:instrText xml:space="preserve"> </w:instrText>
      </w:r>
      <w:r>
        <w:rPr>
          <w:rFonts w:ascii="微软雅黑" w:hAnsi="微软雅黑" w:eastAsia="微软雅黑"/>
          <w:color w:val="auto"/>
          <w:spacing w:val="-4"/>
          <w:sz w:val="32"/>
          <w:szCs w:val="32"/>
          <w:highlight w:val="none"/>
        </w:rPr>
        <w:fldChar w:fldCharType="separate"/>
      </w:r>
      <w:r>
        <w:rPr>
          <w:rFonts w:hint="eastAsia" w:ascii="微软雅黑" w:hAnsi="微软雅黑" w:eastAsia="微软雅黑"/>
          <w:color w:val="auto"/>
          <w:spacing w:val="-4"/>
          <w:sz w:val="32"/>
          <w:szCs w:val="32"/>
          <w:highlight w:val="none"/>
        </w:rPr>
        <w:t>②</w:t>
      </w:r>
      <w:r>
        <w:rPr>
          <w:rFonts w:ascii="微软雅黑" w:hAnsi="微软雅黑" w:eastAsia="微软雅黑"/>
          <w:color w:val="auto"/>
          <w:spacing w:val="-4"/>
          <w:sz w:val="32"/>
          <w:szCs w:val="32"/>
          <w:highlight w:val="none"/>
        </w:rPr>
        <w:fldChar w:fldCharType="end"/>
      </w:r>
      <w:r>
        <w:rPr>
          <w:rFonts w:ascii="微软雅黑" w:hAnsi="微软雅黑" w:eastAsia="微软雅黑"/>
          <w:color w:val="auto"/>
          <w:spacing w:val="-4"/>
          <w:sz w:val="32"/>
          <w:szCs w:val="32"/>
          <w:highlight w:val="none"/>
        </w:rPr>
        <w:t xml:space="preserve"> </w:t>
      </w:r>
      <w:r>
        <w:rPr>
          <w:rFonts w:hint="eastAsia" w:ascii="仿宋_GB2312" w:hAnsi="仿宋_GB2312" w:eastAsia="仿宋_GB2312" w:cs="仿宋_GB2312"/>
          <w:color w:val="auto"/>
          <w:kern w:val="0"/>
          <w:sz w:val="32"/>
          <w:szCs w:val="32"/>
          <w:highlight w:val="none"/>
        </w:rPr>
        <w:t>参加系数：主持（排名第一名）为</w:t>
      </w:r>
      <w:r>
        <w:rPr>
          <w:rFonts w:eastAsia="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rPr>
        <w:t>.</w:t>
      </w:r>
      <w:r>
        <w:rPr>
          <w:rFonts w:eastAsia="仿宋_GB2312"/>
          <w:color w:val="auto"/>
          <w:kern w:val="0"/>
          <w:sz w:val="32"/>
          <w:szCs w:val="32"/>
          <w:highlight w:val="none"/>
        </w:rPr>
        <w:t>0</w:t>
      </w:r>
      <w:r>
        <w:rPr>
          <w:rFonts w:hint="eastAsia" w:ascii="仿宋_GB2312" w:hAnsi="仿宋_GB2312" w:eastAsia="仿宋_GB2312" w:cs="仿宋_GB2312"/>
          <w:color w:val="auto"/>
          <w:kern w:val="0"/>
          <w:sz w:val="32"/>
          <w:szCs w:val="32"/>
          <w:highlight w:val="none"/>
        </w:rPr>
        <w:t>，主要参加（含教师省（市）级及以下排名前三，国家（部）级排名前五）为</w:t>
      </w:r>
      <w:r>
        <w:rPr>
          <w:rFonts w:hint="eastAsia" w:eastAsia="仿宋_GB2312"/>
          <w:color w:val="auto"/>
          <w:kern w:val="0"/>
          <w:sz w:val="32"/>
          <w:szCs w:val="32"/>
          <w:highlight w:val="none"/>
          <w:lang w:val="en-US" w:eastAsia="zh-CN"/>
        </w:rPr>
        <w:t>0.2</w:t>
      </w:r>
      <w:r>
        <w:rPr>
          <w:rFonts w:hint="eastAsia" w:ascii="仿宋_GB2312" w:hAnsi="仿宋_GB2312" w:eastAsia="仿宋_GB2312" w:cs="仿宋_GB2312"/>
          <w:color w:val="auto"/>
          <w:kern w:val="0"/>
          <w:sz w:val="32"/>
          <w:szCs w:val="32"/>
          <w:highlight w:val="none"/>
        </w:rPr>
        <w:t>，其他为</w:t>
      </w:r>
      <w:r>
        <w:rPr>
          <w:rFonts w:eastAsia="仿宋_GB2312"/>
          <w:color w:val="auto"/>
          <w:kern w:val="0"/>
          <w:sz w:val="32"/>
          <w:szCs w:val="32"/>
          <w:highlight w:val="none"/>
        </w:rPr>
        <w:t>0</w:t>
      </w:r>
      <w:r>
        <w:rPr>
          <w:rFonts w:hint="eastAsia" w:ascii="仿宋_GB2312" w:hAnsi="仿宋_GB2312" w:eastAsia="仿宋_GB2312" w:cs="仿宋_GB2312"/>
          <w:color w:val="auto"/>
          <w:kern w:val="0"/>
          <w:sz w:val="32"/>
          <w:szCs w:val="32"/>
          <w:highlight w:val="none"/>
        </w:rPr>
        <w:t>.</w:t>
      </w:r>
      <w:r>
        <w:rPr>
          <w:rFonts w:eastAsia="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rPr>
        <w:t>。</w:t>
      </w:r>
    </w:p>
    <w:p>
      <w:pPr>
        <w:widowControl/>
        <w:numPr>
          <w:ilvl w:val="0"/>
          <w:numId w:val="3"/>
        </w:numPr>
        <w:spacing w:line="600" w:lineRule="exact"/>
        <w:ind w:left="284"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科技创新</w:t>
      </w:r>
    </w:p>
    <w:p>
      <w:pPr>
        <w:widowControl/>
        <w:spacing w:line="600" w:lineRule="exact"/>
        <w:ind w:left="284"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科技创新包括专利、专业竞赛、创新创业项目等三个方面，得分为三个方面总和，科技创新成绩计算公式为：</w:t>
      </w:r>
    </w:p>
    <w:p>
      <w:pPr>
        <w:widowControl/>
        <w:spacing w:line="600" w:lineRule="exact"/>
        <w:ind w:left="284"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科技创新得分=（个人得分/同类型人员</w:t>
      </w:r>
      <w:r>
        <w:rPr>
          <w:rFonts w:hint="eastAsia" w:ascii="仿宋_GB2312" w:hAnsi="仿宋_GB2312" w:eastAsia="仿宋_GB2312" w:cs="仿宋_GB2312"/>
          <w:color w:val="auto"/>
          <w:kern w:val="0"/>
          <w:sz w:val="32"/>
          <w:szCs w:val="32"/>
          <w:highlight w:val="none"/>
          <w:lang w:val="en-US" w:eastAsia="zh-CN"/>
        </w:rPr>
        <w:t>最高</w:t>
      </w:r>
      <w:r>
        <w:rPr>
          <w:rFonts w:hint="eastAsia" w:ascii="仿宋_GB2312" w:hAnsi="仿宋_GB2312" w:eastAsia="仿宋_GB2312" w:cs="仿宋_GB2312"/>
          <w:color w:val="auto"/>
          <w:kern w:val="0"/>
          <w:sz w:val="32"/>
          <w:szCs w:val="32"/>
          <w:highlight w:val="none"/>
        </w:rPr>
        <w:t>得分）×C</w:t>
      </w:r>
    </w:p>
    <w:p>
      <w:pPr>
        <w:widowControl/>
        <w:spacing w:line="600" w:lineRule="exact"/>
        <w:ind w:left="284"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（C值依据表</w:t>
      </w:r>
      <w:r>
        <w:rPr>
          <w:rFonts w:hint="eastAsia" w:eastAsia="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rPr>
        <w:t>、</w:t>
      </w:r>
      <w:r>
        <w:rPr>
          <w:rFonts w:hint="eastAsia" w:eastAsia="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rPr>
        <w:t>选定）</w:t>
      </w:r>
    </w:p>
    <w:p>
      <w:pPr>
        <w:widowControl/>
        <w:spacing w:line="600" w:lineRule="exact"/>
        <w:ind w:left="284"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eastAsia="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rPr>
        <w:t>）专利</w:t>
      </w:r>
    </w:p>
    <w:p>
      <w:pPr>
        <w:widowControl/>
        <w:spacing w:line="600" w:lineRule="exact"/>
        <w:ind w:left="284"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专利得分=相应专利级别的基础分×发明人系数</w:t>
      </w:r>
    </w:p>
    <w:p>
      <w:pPr>
        <w:widowControl/>
        <w:spacing w:line="600" w:lineRule="exact"/>
        <w:ind w:left="284"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专利级别及基础分如表12所示：</w:t>
      </w:r>
    </w:p>
    <w:p>
      <w:pPr>
        <w:widowControl/>
        <w:spacing w:line="600" w:lineRule="exact"/>
        <w:ind w:left="284" w:firstLine="640" w:firstLineChars="200"/>
        <w:jc w:val="left"/>
        <w:rPr>
          <w:rFonts w:hint="eastAsia" w:ascii="仿宋_GB2312" w:hAnsi="仿宋_GB2312" w:eastAsia="仿宋_GB2312" w:cs="仿宋_GB2312"/>
          <w:color w:val="auto"/>
          <w:kern w:val="0"/>
          <w:sz w:val="32"/>
          <w:szCs w:val="32"/>
          <w:highlight w:val="none"/>
        </w:rPr>
      </w:pPr>
    </w:p>
    <w:p>
      <w:pPr>
        <w:widowControl/>
        <w:spacing w:line="600" w:lineRule="exact"/>
        <w:jc w:val="center"/>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表12  加分标准</w:t>
      </w:r>
    </w:p>
    <w:tbl>
      <w:tblPr>
        <w:tblStyle w:val="4"/>
        <w:tblW w:w="4487" w:type="pct"/>
        <w:jc w:val="center"/>
        <w:tblLayout w:type="autofit"/>
        <w:tblCellMar>
          <w:top w:w="0" w:type="dxa"/>
          <w:left w:w="10" w:type="dxa"/>
          <w:bottom w:w="0" w:type="dxa"/>
          <w:right w:w="10" w:type="dxa"/>
        </w:tblCellMar>
      </w:tblPr>
      <w:tblGrid>
        <w:gridCol w:w="5926"/>
        <w:gridCol w:w="2917"/>
      </w:tblGrid>
      <w:tr>
        <w:tblPrEx>
          <w:tblCellMar>
            <w:top w:w="0" w:type="dxa"/>
            <w:left w:w="10" w:type="dxa"/>
            <w:bottom w:w="0" w:type="dxa"/>
            <w:right w:w="10" w:type="dxa"/>
          </w:tblCellMar>
        </w:tblPrEx>
        <w:trPr>
          <w:jc w:val="center"/>
        </w:trPr>
        <w:tc>
          <w:tcPr>
            <w:tcW w:w="3350"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专利级别</w:t>
            </w:r>
          </w:p>
        </w:tc>
        <w:tc>
          <w:tcPr>
            <w:tcW w:w="1649"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600" w:lineRule="exact"/>
              <w:ind w:firstLine="21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基础分</w:t>
            </w:r>
          </w:p>
        </w:tc>
      </w:tr>
      <w:tr>
        <w:tblPrEx>
          <w:tblCellMar>
            <w:top w:w="0" w:type="dxa"/>
            <w:left w:w="10" w:type="dxa"/>
            <w:bottom w:w="0" w:type="dxa"/>
            <w:right w:w="10" w:type="dxa"/>
          </w:tblCellMar>
        </w:tblPrEx>
        <w:trPr>
          <w:jc w:val="center"/>
        </w:trPr>
        <w:tc>
          <w:tcPr>
            <w:tcW w:w="3350"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发明专利授权</w:t>
            </w:r>
          </w:p>
        </w:tc>
        <w:tc>
          <w:tcPr>
            <w:tcW w:w="1649"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600" w:lineRule="exact"/>
              <w:ind w:firstLine="420"/>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15</w:t>
            </w:r>
          </w:p>
        </w:tc>
      </w:tr>
      <w:tr>
        <w:tblPrEx>
          <w:tblCellMar>
            <w:top w:w="0" w:type="dxa"/>
            <w:left w:w="10" w:type="dxa"/>
            <w:bottom w:w="0" w:type="dxa"/>
            <w:right w:w="10" w:type="dxa"/>
          </w:tblCellMar>
        </w:tblPrEx>
        <w:trPr>
          <w:jc w:val="center"/>
        </w:trPr>
        <w:tc>
          <w:tcPr>
            <w:tcW w:w="3350"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实用新型专利授权及发明专利公示</w:t>
            </w:r>
          </w:p>
        </w:tc>
        <w:tc>
          <w:tcPr>
            <w:tcW w:w="1649"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600" w:lineRule="exact"/>
              <w:ind w:firstLine="420"/>
              <w:jc w:val="center"/>
              <w:rPr>
                <w:rFonts w:ascii="仿宋_GB2312" w:hAnsi="仿宋_GB2312" w:eastAsia="仿宋_GB2312" w:cs="仿宋_GB2312"/>
                <w:color w:val="auto"/>
                <w:sz w:val="32"/>
                <w:szCs w:val="32"/>
                <w:highlight w:val="none"/>
              </w:rPr>
            </w:pPr>
            <w:r>
              <w:rPr>
                <w:rFonts w:hint="eastAsia" w:eastAsia="仿宋_GB2312"/>
                <w:color w:val="auto"/>
                <w:sz w:val="32"/>
                <w:szCs w:val="32"/>
                <w:highlight w:val="none"/>
              </w:rPr>
              <w:t>10</w:t>
            </w:r>
          </w:p>
        </w:tc>
      </w:tr>
      <w:tr>
        <w:tblPrEx>
          <w:tblCellMar>
            <w:top w:w="0" w:type="dxa"/>
            <w:left w:w="10" w:type="dxa"/>
            <w:bottom w:w="0" w:type="dxa"/>
            <w:right w:w="10" w:type="dxa"/>
          </w:tblCellMar>
        </w:tblPrEx>
        <w:trPr>
          <w:jc w:val="center"/>
        </w:trPr>
        <w:tc>
          <w:tcPr>
            <w:tcW w:w="3350"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外观设计专利公示</w:t>
            </w:r>
          </w:p>
        </w:tc>
        <w:tc>
          <w:tcPr>
            <w:tcW w:w="1649"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600" w:lineRule="exact"/>
              <w:ind w:firstLine="420"/>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6</w:t>
            </w:r>
          </w:p>
        </w:tc>
      </w:tr>
      <w:tr>
        <w:tblPrEx>
          <w:tblCellMar>
            <w:top w:w="0" w:type="dxa"/>
            <w:left w:w="10" w:type="dxa"/>
            <w:bottom w:w="0" w:type="dxa"/>
            <w:right w:w="10" w:type="dxa"/>
          </w:tblCellMar>
        </w:tblPrEx>
        <w:trPr>
          <w:jc w:val="center"/>
        </w:trPr>
        <w:tc>
          <w:tcPr>
            <w:tcW w:w="3350"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600" w:lineRule="exact"/>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软件著作权</w:t>
            </w:r>
            <w:r>
              <w:rPr>
                <w:rFonts w:hint="eastAsia" w:ascii="仿宋_GB2312" w:hAnsi="仿宋_GB2312" w:eastAsia="仿宋_GB2312" w:cs="仿宋_GB2312"/>
                <w:color w:val="auto"/>
                <w:sz w:val="32"/>
                <w:szCs w:val="32"/>
                <w:highlight w:val="none"/>
                <w:lang w:val="en-US" w:eastAsia="zh-CN"/>
              </w:rPr>
              <w:t>授权</w:t>
            </w:r>
          </w:p>
        </w:tc>
        <w:tc>
          <w:tcPr>
            <w:tcW w:w="1649"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spacing w:line="600" w:lineRule="exact"/>
              <w:ind w:firstLine="420"/>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3</w:t>
            </w:r>
          </w:p>
        </w:tc>
      </w:tr>
    </w:tbl>
    <w:p>
      <w:pPr>
        <w:widowControl/>
        <w:spacing w:line="600" w:lineRule="exact"/>
        <w:ind w:left="284" w:firstLine="640" w:firstLineChars="200"/>
        <w:jc w:val="left"/>
        <w:rPr>
          <w:rFonts w:hint="eastAsia" w:ascii="仿宋_GB2312" w:hAnsi="仿宋_GB2312" w:eastAsia="仿宋_GB2312" w:cs="仿宋_GB2312"/>
          <w:color w:val="auto"/>
          <w:kern w:val="0"/>
          <w:sz w:val="32"/>
          <w:szCs w:val="32"/>
          <w:highlight w:val="none"/>
        </w:rPr>
      </w:pPr>
    </w:p>
    <w:p>
      <w:pPr>
        <w:widowControl/>
        <w:spacing w:line="600" w:lineRule="exact"/>
        <w:ind w:left="284"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其他说明：</w:t>
      </w:r>
    </w:p>
    <w:p>
      <w:pPr>
        <w:widowControl/>
        <w:spacing w:line="600" w:lineRule="exact"/>
        <w:ind w:left="284" w:firstLine="624" w:firstLineChars="200"/>
        <w:jc w:val="left"/>
        <w:rPr>
          <w:rFonts w:hint="eastAsia" w:ascii="仿宋_GB2312" w:hAnsi="仿宋_GB2312" w:eastAsia="仿宋_GB2312" w:cs="仿宋_GB2312"/>
          <w:color w:val="auto"/>
          <w:kern w:val="0"/>
          <w:sz w:val="32"/>
          <w:szCs w:val="32"/>
          <w:highlight w:val="none"/>
        </w:rPr>
      </w:pPr>
      <w:r>
        <w:rPr>
          <w:rFonts w:ascii="微软雅黑" w:hAnsi="微软雅黑" w:eastAsia="微软雅黑"/>
          <w:color w:val="auto"/>
          <w:spacing w:val="-4"/>
          <w:sz w:val="32"/>
          <w:szCs w:val="32"/>
          <w:highlight w:val="none"/>
        </w:rPr>
        <w:fldChar w:fldCharType="begin"/>
      </w:r>
      <w:r>
        <w:rPr>
          <w:rFonts w:ascii="微软雅黑" w:hAnsi="微软雅黑" w:eastAsia="微软雅黑"/>
          <w:color w:val="auto"/>
          <w:spacing w:val="-4"/>
          <w:sz w:val="32"/>
          <w:szCs w:val="32"/>
          <w:highlight w:val="none"/>
        </w:rPr>
        <w:instrText xml:space="preserve"> </w:instrText>
      </w:r>
      <w:r>
        <w:rPr>
          <w:rFonts w:hint="eastAsia" w:ascii="微软雅黑" w:hAnsi="微软雅黑" w:eastAsia="微软雅黑"/>
          <w:color w:val="auto"/>
          <w:spacing w:val="-4"/>
          <w:sz w:val="32"/>
          <w:szCs w:val="32"/>
          <w:highlight w:val="none"/>
        </w:rPr>
        <w:instrText xml:space="preserve">= 1 \* GB3</w:instrText>
      </w:r>
      <w:r>
        <w:rPr>
          <w:rFonts w:ascii="微软雅黑" w:hAnsi="微软雅黑" w:eastAsia="微软雅黑"/>
          <w:color w:val="auto"/>
          <w:spacing w:val="-4"/>
          <w:sz w:val="32"/>
          <w:szCs w:val="32"/>
          <w:highlight w:val="none"/>
        </w:rPr>
        <w:instrText xml:space="preserve"> </w:instrText>
      </w:r>
      <w:r>
        <w:rPr>
          <w:rFonts w:ascii="微软雅黑" w:hAnsi="微软雅黑" w:eastAsia="微软雅黑"/>
          <w:color w:val="auto"/>
          <w:spacing w:val="-4"/>
          <w:sz w:val="32"/>
          <w:szCs w:val="32"/>
          <w:highlight w:val="none"/>
        </w:rPr>
        <w:fldChar w:fldCharType="separate"/>
      </w:r>
      <w:r>
        <w:rPr>
          <w:rFonts w:hint="eastAsia" w:ascii="微软雅黑" w:hAnsi="微软雅黑" w:eastAsia="微软雅黑"/>
          <w:color w:val="auto"/>
          <w:spacing w:val="-4"/>
          <w:sz w:val="32"/>
          <w:szCs w:val="32"/>
          <w:highlight w:val="none"/>
        </w:rPr>
        <w:t>①</w:t>
      </w:r>
      <w:r>
        <w:rPr>
          <w:rFonts w:ascii="微软雅黑" w:hAnsi="微软雅黑" w:eastAsia="微软雅黑"/>
          <w:color w:val="auto"/>
          <w:spacing w:val="-4"/>
          <w:sz w:val="32"/>
          <w:szCs w:val="32"/>
          <w:highlight w:val="none"/>
        </w:rPr>
        <w:fldChar w:fldCharType="end"/>
      </w:r>
      <w:r>
        <w:rPr>
          <w:rFonts w:hint="eastAsia" w:ascii="仿宋_GB2312" w:hAnsi="仿宋_GB2312" w:eastAsia="仿宋_GB2312" w:cs="仿宋_GB2312"/>
          <w:color w:val="auto"/>
          <w:kern w:val="0"/>
          <w:sz w:val="32"/>
          <w:szCs w:val="32"/>
          <w:highlight w:val="none"/>
        </w:rPr>
        <w:t>发明人系数：发明人（含教师）排名前二为</w:t>
      </w:r>
      <w:r>
        <w:rPr>
          <w:rFonts w:eastAsia="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rPr>
        <w:t>.</w:t>
      </w:r>
      <w:r>
        <w:rPr>
          <w:rFonts w:eastAsia="仿宋_GB2312"/>
          <w:color w:val="auto"/>
          <w:kern w:val="0"/>
          <w:sz w:val="32"/>
          <w:szCs w:val="32"/>
          <w:highlight w:val="none"/>
        </w:rPr>
        <w:t>0</w:t>
      </w:r>
      <w:r>
        <w:rPr>
          <w:rFonts w:hint="eastAsia" w:ascii="仿宋_GB2312" w:hAnsi="仿宋_GB2312" w:eastAsia="仿宋_GB2312" w:cs="仿宋_GB2312"/>
          <w:color w:val="auto"/>
          <w:kern w:val="0"/>
          <w:sz w:val="32"/>
          <w:szCs w:val="32"/>
          <w:highlight w:val="none"/>
        </w:rPr>
        <w:t>，发明人（含教师）排名第三为</w:t>
      </w:r>
      <w:r>
        <w:rPr>
          <w:rFonts w:hint="eastAsia" w:eastAsia="仿宋_GB2312"/>
          <w:color w:val="auto"/>
          <w:kern w:val="0"/>
          <w:sz w:val="32"/>
          <w:szCs w:val="32"/>
          <w:highlight w:val="none"/>
          <w:lang w:val="en-US" w:eastAsia="zh-CN"/>
        </w:rPr>
        <w:t>0.3</w:t>
      </w:r>
      <w:r>
        <w:rPr>
          <w:rFonts w:hint="eastAsia" w:ascii="仿宋_GB2312" w:hAnsi="仿宋_GB2312" w:eastAsia="仿宋_GB2312" w:cs="仿宋_GB2312"/>
          <w:color w:val="auto"/>
          <w:kern w:val="0"/>
          <w:sz w:val="32"/>
          <w:szCs w:val="32"/>
          <w:highlight w:val="none"/>
        </w:rPr>
        <w:t>，其它发明人均为</w:t>
      </w:r>
      <w:r>
        <w:rPr>
          <w:rFonts w:eastAsia="仿宋_GB2312"/>
          <w:color w:val="auto"/>
          <w:kern w:val="0"/>
          <w:sz w:val="32"/>
          <w:szCs w:val="32"/>
          <w:highlight w:val="none"/>
        </w:rPr>
        <w:t>0</w:t>
      </w:r>
      <w:r>
        <w:rPr>
          <w:rFonts w:hint="eastAsia" w:ascii="仿宋_GB2312" w:hAnsi="仿宋_GB2312" w:eastAsia="仿宋_GB2312" w:cs="仿宋_GB2312"/>
          <w:color w:val="auto"/>
          <w:kern w:val="0"/>
          <w:sz w:val="32"/>
          <w:szCs w:val="32"/>
          <w:highlight w:val="none"/>
        </w:rPr>
        <w:t>.</w:t>
      </w:r>
      <w:r>
        <w:rPr>
          <w:rFonts w:eastAsia="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发明人排名第三以及后面排名的</w:t>
      </w:r>
      <w:r>
        <w:rPr>
          <w:rFonts w:hint="eastAsia" w:ascii="仿宋_GB2312" w:hAnsi="仿宋_GB2312" w:eastAsia="仿宋_GB2312" w:cs="仿宋_GB2312"/>
          <w:color w:val="auto"/>
          <w:kern w:val="0"/>
          <w:sz w:val="32"/>
          <w:szCs w:val="32"/>
          <w:highlight w:val="none"/>
        </w:rPr>
        <w:t>累计加分不超过</w:t>
      </w:r>
      <w:r>
        <w:rPr>
          <w:rFonts w:hint="eastAsia" w:eastAsia="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分。</w:t>
      </w:r>
    </w:p>
    <w:p>
      <w:pPr>
        <w:widowControl/>
        <w:spacing w:line="600" w:lineRule="exact"/>
        <w:ind w:left="284" w:firstLine="624" w:firstLineChars="200"/>
        <w:jc w:val="left"/>
        <w:rPr>
          <w:rFonts w:hint="eastAsia" w:ascii="仿宋_GB2312" w:hAnsi="仿宋_GB2312" w:eastAsia="仿宋_GB2312" w:cs="仿宋_GB2312"/>
          <w:color w:val="auto"/>
          <w:kern w:val="0"/>
          <w:sz w:val="32"/>
          <w:szCs w:val="32"/>
          <w:highlight w:val="none"/>
        </w:rPr>
      </w:pPr>
      <w:r>
        <w:rPr>
          <w:rFonts w:ascii="微软雅黑" w:hAnsi="微软雅黑" w:eastAsia="微软雅黑"/>
          <w:color w:val="auto"/>
          <w:spacing w:val="-4"/>
          <w:sz w:val="32"/>
          <w:szCs w:val="32"/>
          <w:highlight w:val="none"/>
        </w:rPr>
        <w:fldChar w:fldCharType="begin"/>
      </w:r>
      <w:r>
        <w:rPr>
          <w:rFonts w:ascii="微软雅黑" w:hAnsi="微软雅黑" w:eastAsia="微软雅黑"/>
          <w:color w:val="auto"/>
          <w:spacing w:val="-4"/>
          <w:sz w:val="32"/>
          <w:szCs w:val="32"/>
          <w:highlight w:val="none"/>
        </w:rPr>
        <w:instrText xml:space="preserve"> </w:instrText>
      </w:r>
      <w:r>
        <w:rPr>
          <w:rFonts w:hint="eastAsia" w:ascii="微软雅黑" w:hAnsi="微软雅黑" w:eastAsia="微软雅黑"/>
          <w:color w:val="auto"/>
          <w:spacing w:val="-4"/>
          <w:sz w:val="32"/>
          <w:szCs w:val="32"/>
          <w:highlight w:val="none"/>
        </w:rPr>
        <w:instrText xml:space="preserve">= 2 \* GB3</w:instrText>
      </w:r>
      <w:r>
        <w:rPr>
          <w:rFonts w:ascii="微软雅黑" w:hAnsi="微软雅黑" w:eastAsia="微软雅黑"/>
          <w:color w:val="auto"/>
          <w:spacing w:val="-4"/>
          <w:sz w:val="32"/>
          <w:szCs w:val="32"/>
          <w:highlight w:val="none"/>
        </w:rPr>
        <w:instrText xml:space="preserve"> </w:instrText>
      </w:r>
      <w:r>
        <w:rPr>
          <w:rFonts w:ascii="微软雅黑" w:hAnsi="微软雅黑" w:eastAsia="微软雅黑"/>
          <w:color w:val="auto"/>
          <w:spacing w:val="-4"/>
          <w:sz w:val="32"/>
          <w:szCs w:val="32"/>
          <w:highlight w:val="none"/>
        </w:rPr>
        <w:fldChar w:fldCharType="separate"/>
      </w:r>
      <w:r>
        <w:rPr>
          <w:rFonts w:hint="eastAsia" w:ascii="微软雅黑" w:hAnsi="微软雅黑" w:eastAsia="微软雅黑"/>
          <w:color w:val="auto"/>
          <w:spacing w:val="-4"/>
          <w:sz w:val="32"/>
          <w:szCs w:val="32"/>
          <w:highlight w:val="none"/>
        </w:rPr>
        <w:t>②</w:t>
      </w:r>
      <w:r>
        <w:rPr>
          <w:rFonts w:ascii="微软雅黑" w:hAnsi="微软雅黑" w:eastAsia="微软雅黑"/>
          <w:color w:val="auto"/>
          <w:spacing w:val="-4"/>
          <w:sz w:val="32"/>
          <w:szCs w:val="32"/>
          <w:highlight w:val="none"/>
        </w:rPr>
        <w:fldChar w:fldCharType="end"/>
      </w:r>
      <w:r>
        <w:rPr>
          <w:rFonts w:hint="eastAsia" w:ascii="仿宋_GB2312" w:hAnsi="仿宋_GB2312" w:eastAsia="仿宋_GB2312" w:cs="仿宋_GB2312"/>
          <w:color w:val="auto"/>
          <w:kern w:val="0"/>
          <w:sz w:val="32"/>
          <w:szCs w:val="32"/>
          <w:highlight w:val="none"/>
        </w:rPr>
        <w:t>二年级（含）以上研究生另外要求：</w:t>
      </w:r>
    </w:p>
    <w:p>
      <w:pPr>
        <w:widowControl/>
        <w:spacing w:line="60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Ⅰ.专利发明单位应为华南农业大学，所发表内容与研究方向相关。</w:t>
      </w:r>
    </w:p>
    <w:p>
      <w:pPr>
        <w:widowControl/>
        <w:spacing w:line="60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Ⅱ.该专利获得其他科学研究奖励的，以最高分计，不累加。</w:t>
      </w:r>
    </w:p>
    <w:p>
      <w:pPr>
        <w:widowControl/>
        <w:spacing w:line="60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Ⅲ.若专利在公示期间使用，在授权后减去相应的公示分数计入分数。</w:t>
      </w:r>
    </w:p>
    <w:p>
      <w:pPr>
        <w:widowControl/>
        <w:spacing w:line="600" w:lineRule="exact"/>
        <w:ind w:left="284"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eastAsia="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rPr>
        <w:t>）专业竞赛</w:t>
      </w:r>
    </w:p>
    <w:p>
      <w:pPr>
        <w:spacing w:line="600" w:lineRule="exact"/>
        <w:ind w:firstLine="960" w:firstLineChars="3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专业竞赛区分单人获奖和团队获奖，可申请加分情况如表13、表14所示：</w:t>
      </w:r>
    </w:p>
    <w:p>
      <w:pPr>
        <w:spacing w:line="600" w:lineRule="exact"/>
        <w:ind w:firstLine="936" w:firstLineChars="300"/>
        <w:jc w:val="left"/>
        <w:rPr>
          <w:rFonts w:hint="eastAsia" w:ascii="仿宋_GB2312" w:hAnsi="仿宋_GB2312" w:eastAsia="仿宋_GB2312" w:cs="仿宋_GB2312"/>
          <w:color w:val="auto"/>
          <w:sz w:val="32"/>
          <w:szCs w:val="32"/>
          <w:highlight w:val="none"/>
        </w:rPr>
      </w:pPr>
      <w:r>
        <w:rPr>
          <w:rFonts w:ascii="微软雅黑" w:hAnsi="微软雅黑" w:eastAsia="微软雅黑"/>
          <w:color w:val="auto"/>
          <w:spacing w:val="-4"/>
          <w:sz w:val="32"/>
          <w:szCs w:val="32"/>
          <w:highlight w:val="none"/>
        </w:rPr>
        <w:fldChar w:fldCharType="begin"/>
      </w:r>
      <w:r>
        <w:rPr>
          <w:rFonts w:ascii="微软雅黑" w:hAnsi="微软雅黑" w:eastAsia="微软雅黑"/>
          <w:color w:val="auto"/>
          <w:spacing w:val="-4"/>
          <w:sz w:val="32"/>
          <w:szCs w:val="32"/>
          <w:highlight w:val="none"/>
        </w:rPr>
        <w:instrText xml:space="preserve"> </w:instrText>
      </w:r>
      <w:r>
        <w:rPr>
          <w:rFonts w:hint="eastAsia" w:ascii="微软雅黑" w:hAnsi="微软雅黑" w:eastAsia="微软雅黑"/>
          <w:color w:val="auto"/>
          <w:spacing w:val="-4"/>
          <w:sz w:val="32"/>
          <w:szCs w:val="32"/>
          <w:highlight w:val="none"/>
        </w:rPr>
        <w:instrText xml:space="preserve">= 1 \* GB3</w:instrText>
      </w:r>
      <w:r>
        <w:rPr>
          <w:rFonts w:ascii="微软雅黑" w:hAnsi="微软雅黑" w:eastAsia="微软雅黑"/>
          <w:color w:val="auto"/>
          <w:spacing w:val="-4"/>
          <w:sz w:val="32"/>
          <w:szCs w:val="32"/>
          <w:highlight w:val="none"/>
        </w:rPr>
        <w:instrText xml:space="preserve"> </w:instrText>
      </w:r>
      <w:r>
        <w:rPr>
          <w:rFonts w:ascii="微软雅黑" w:hAnsi="微软雅黑" w:eastAsia="微软雅黑"/>
          <w:color w:val="auto"/>
          <w:spacing w:val="-4"/>
          <w:sz w:val="32"/>
          <w:szCs w:val="32"/>
          <w:highlight w:val="none"/>
        </w:rPr>
        <w:fldChar w:fldCharType="separate"/>
      </w:r>
      <w:r>
        <w:rPr>
          <w:rFonts w:hint="eastAsia" w:ascii="微软雅黑" w:hAnsi="微软雅黑" w:eastAsia="微软雅黑"/>
          <w:color w:val="auto"/>
          <w:spacing w:val="-4"/>
          <w:sz w:val="32"/>
          <w:szCs w:val="32"/>
          <w:highlight w:val="none"/>
        </w:rPr>
        <w:t>①</w:t>
      </w:r>
      <w:r>
        <w:rPr>
          <w:rFonts w:ascii="微软雅黑" w:hAnsi="微软雅黑" w:eastAsia="微软雅黑"/>
          <w:color w:val="auto"/>
          <w:spacing w:val="-4"/>
          <w:sz w:val="32"/>
          <w:szCs w:val="32"/>
          <w:highlight w:val="none"/>
        </w:rPr>
        <w:fldChar w:fldCharType="end"/>
      </w:r>
      <w:r>
        <w:rPr>
          <w:rFonts w:hint="eastAsia" w:ascii="仿宋_GB2312" w:hAnsi="仿宋_GB2312" w:eastAsia="仿宋_GB2312" w:cs="仿宋_GB2312"/>
          <w:color w:val="auto"/>
          <w:sz w:val="32"/>
          <w:szCs w:val="32"/>
          <w:highlight w:val="none"/>
        </w:rPr>
        <w:t>个人获奖得分：</w:t>
      </w:r>
    </w:p>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表13  个人加分标准</w:t>
      </w:r>
    </w:p>
    <w:tbl>
      <w:tblPr>
        <w:tblStyle w:val="4"/>
        <w:tblW w:w="4584" w:type="pct"/>
        <w:jc w:val="center"/>
        <w:tblLayout w:type="autofit"/>
        <w:tblCellMar>
          <w:top w:w="0" w:type="dxa"/>
          <w:left w:w="10" w:type="dxa"/>
          <w:bottom w:w="0" w:type="dxa"/>
          <w:right w:w="10" w:type="dxa"/>
        </w:tblCellMar>
      </w:tblPr>
      <w:tblGrid>
        <w:gridCol w:w="1706"/>
        <w:gridCol w:w="3745"/>
        <w:gridCol w:w="3583"/>
      </w:tblGrid>
      <w:tr>
        <w:tblPrEx>
          <w:tblCellMar>
            <w:top w:w="0" w:type="dxa"/>
            <w:left w:w="10" w:type="dxa"/>
            <w:bottom w:w="0" w:type="dxa"/>
            <w:right w:w="10" w:type="dxa"/>
          </w:tblCellMar>
        </w:tblPrEx>
        <w:trPr>
          <w:jc w:val="center"/>
        </w:trPr>
        <w:tc>
          <w:tcPr>
            <w:tcW w:w="944"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获奖级别</w:t>
            </w:r>
          </w:p>
        </w:tc>
        <w:tc>
          <w:tcPr>
            <w:tcW w:w="2072" w:type="pct"/>
            <w:tcBorders>
              <w:top w:val="single" w:color="000000" w:sz="4"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获奖等级</w:t>
            </w:r>
          </w:p>
        </w:tc>
        <w:tc>
          <w:tcPr>
            <w:tcW w:w="1982" w:type="pct"/>
            <w:tcBorders>
              <w:top w:val="single" w:color="000000" w:sz="4"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基础分</w:t>
            </w:r>
          </w:p>
        </w:tc>
      </w:tr>
      <w:tr>
        <w:tblPrEx>
          <w:tblCellMar>
            <w:top w:w="0" w:type="dxa"/>
            <w:left w:w="10" w:type="dxa"/>
            <w:bottom w:w="0" w:type="dxa"/>
            <w:right w:w="10" w:type="dxa"/>
          </w:tblCellMar>
        </w:tblPrEx>
        <w:trPr>
          <w:jc w:val="center"/>
        </w:trPr>
        <w:tc>
          <w:tcPr>
            <w:tcW w:w="944" w:type="pct"/>
            <w:vMerge w:val="restart"/>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国家级</w:t>
            </w:r>
          </w:p>
        </w:tc>
        <w:tc>
          <w:tcPr>
            <w:tcW w:w="207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198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15</w:t>
            </w:r>
          </w:p>
        </w:tc>
      </w:tr>
      <w:tr>
        <w:tblPrEx>
          <w:tblCellMar>
            <w:top w:w="0" w:type="dxa"/>
            <w:left w:w="10" w:type="dxa"/>
            <w:bottom w:w="0" w:type="dxa"/>
            <w:right w:w="10" w:type="dxa"/>
          </w:tblCellMar>
        </w:tblPrEx>
        <w:trPr>
          <w:jc w:val="center"/>
        </w:trPr>
        <w:tc>
          <w:tcPr>
            <w:tcW w:w="944"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7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198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12</w:t>
            </w:r>
          </w:p>
        </w:tc>
      </w:tr>
      <w:tr>
        <w:tblPrEx>
          <w:tblCellMar>
            <w:top w:w="0" w:type="dxa"/>
            <w:left w:w="10" w:type="dxa"/>
            <w:bottom w:w="0" w:type="dxa"/>
            <w:right w:w="10" w:type="dxa"/>
          </w:tblCellMar>
        </w:tblPrEx>
        <w:trPr>
          <w:jc w:val="center"/>
        </w:trPr>
        <w:tc>
          <w:tcPr>
            <w:tcW w:w="944"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7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198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10</w:t>
            </w:r>
          </w:p>
        </w:tc>
      </w:tr>
      <w:tr>
        <w:tblPrEx>
          <w:tblCellMar>
            <w:top w:w="0" w:type="dxa"/>
            <w:left w:w="10" w:type="dxa"/>
            <w:bottom w:w="0" w:type="dxa"/>
            <w:right w:w="10" w:type="dxa"/>
          </w:tblCellMar>
        </w:tblPrEx>
        <w:trPr>
          <w:jc w:val="center"/>
        </w:trPr>
        <w:tc>
          <w:tcPr>
            <w:tcW w:w="944"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7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优秀奖</w:t>
            </w:r>
          </w:p>
        </w:tc>
        <w:tc>
          <w:tcPr>
            <w:tcW w:w="198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8</w:t>
            </w:r>
          </w:p>
        </w:tc>
      </w:tr>
      <w:tr>
        <w:tblPrEx>
          <w:tblCellMar>
            <w:top w:w="0" w:type="dxa"/>
            <w:left w:w="10" w:type="dxa"/>
            <w:bottom w:w="0" w:type="dxa"/>
            <w:right w:w="10" w:type="dxa"/>
          </w:tblCellMar>
        </w:tblPrEx>
        <w:trPr>
          <w:jc w:val="center"/>
        </w:trPr>
        <w:tc>
          <w:tcPr>
            <w:tcW w:w="944" w:type="pct"/>
            <w:vMerge w:val="restart"/>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省级</w:t>
            </w:r>
          </w:p>
        </w:tc>
        <w:tc>
          <w:tcPr>
            <w:tcW w:w="207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198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12</w:t>
            </w:r>
          </w:p>
        </w:tc>
      </w:tr>
      <w:tr>
        <w:tblPrEx>
          <w:tblCellMar>
            <w:top w:w="0" w:type="dxa"/>
            <w:left w:w="10" w:type="dxa"/>
            <w:bottom w:w="0" w:type="dxa"/>
            <w:right w:w="10" w:type="dxa"/>
          </w:tblCellMar>
        </w:tblPrEx>
        <w:trPr>
          <w:jc w:val="center"/>
        </w:trPr>
        <w:tc>
          <w:tcPr>
            <w:tcW w:w="944"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7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198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10</w:t>
            </w:r>
          </w:p>
        </w:tc>
      </w:tr>
      <w:tr>
        <w:tblPrEx>
          <w:tblCellMar>
            <w:top w:w="0" w:type="dxa"/>
            <w:left w:w="10" w:type="dxa"/>
            <w:bottom w:w="0" w:type="dxa"/>
            <w:right w:w="10" w:type="dxa"/>
          </w:tblCellMar>
        </w:tblPrEx>
        <w:trPr>
          <w:jc w:val="center"/>
        </w:trPr>
        <w:tc>
          <w:tcPr>
            <w:tcW w:w="944"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7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198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8</w:t>
            </w:r>
          </w:p>
        </w:tc>
      </w:tr>
      <w:tr>
        <w:tblPrEx>
          <w:tblCellMar>
            <w:top w:w="0" w:type="dxa"/>
            <w:left w:w="10" w:type="dxa"/>
            <w:bottom w:w="0" w:type="dxa"/>
            <w:right w:w="10" w:type="dxa"/>
          </w:tblCellMar>
        </w:tblPrEx>
        <w:trPr>
          <w:jc w:val="center"/>
        </w:trPr>
        <w:tc>
          <w:tcPr>
            <w:tcW w:w="944"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7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优秀奖</w:t>
            </w:r>
          </w:p>
        </w:tc>
        <w:tc>
          <w:tcPr>
            <w:tcW w:w="198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6</w:t>
            </w:r>
          </w:p>
        </w:tc>
      </w:tr>
      <w:tr>
        <w:tblPrEx>
          <w:tblCellMar>
            <w:top w:w="0" w:type="dxa"/>
            <w:left w:w="10" w:type="dxa"/>
            <w:bottom w:w="0" w:type="dxa"/>
            <w:right w:w="10" w:type="dxa"/>
          </w:tblCellMar>
        </w:tblPrEx>
        <w:trPr>
          <w:jc w:val="center"/>
        </w:trPr>
        <w:tc>
          <w:tcPr>
            <w:tcW w:w="944" w:type="pct"/>
            <w:vMerge w:val="restart"/>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校级</w:t>
            </w:r>
          </w:p>
        </w:tc>
        <w:tc>
          <w:tcPr>
            <w:tcW w:w="207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198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6</w:t>
            </w:r>
          </w:p>
        </w:tc>
      </w:tr>
      <w:tr>
        <w:tblPrEx>
          <w:tblCellMar>
            <w:top w:w="0" w:type="dxa"/>
            <w:left w:w="10" w:type="dxa"/>
            <w:bottom w:w="0" w:type="dxa"/>
            <w:right w:w="10" w:type="dxa"/>
          </w:tblCellMar>
        </w:tblPrEx>
        <w:trPr>
          <w:jc w:val="center"/>
        </w:trPr>
        <w:tc>
          <w:tcPr>
            <w:tcW w:w="944"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7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198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4</w:t>
            </w:r>
          </w:p>
        </w:tc>
      </w:tr>
      <w:tr>
        <w:tblPrEx>
          <w:tblCellMar>
            <w:top w:w="0" w:type="dxa"/>
            <w:left w:w="10" w:type="dxa"/>
            <w:bottom w:w="0" w:type="dxa"/>
            <w:right w:w="10" w:type="dxa"/>
          </w:tblCellMar>
        </w:tblPrEx>
        <w:trPr>
          <w:jc w:val="center"/>
        </w:trPr>
        <w:tc>
          <w:tcPr>
            <w:tcW w:w="944"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7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198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3</w:t>
            </w:r>
          </w:p>
        </w:tc>
      </w:tr>
      <w:tr>
        <w:tblPrEx>
          <w:tblCellMar>
            <w:top w:w="0" w:type="dxa"/>
            <w:left w:w="10" w:type="dxa"/>
            <w:bottom w:w="0" w:type="dxa"/>
            <w:right w:w="10" w:type="dxa"/>
          </w:tblCellMar>
        </w:tblPrEx>
        <w:trPr>
          <w:jc w:val="center"/>
        </w:trPr>
        <w:tc>
          <w:tcPr>
            <w:tcW w:w="944"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7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优秀奖</w:t>
            </w:r>
          </w:p>
        </w:tc>
        <w:tc>
          <w:tcPr>
            <w:tcW w:w="198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2</w:t>
            </w:r>
          </w:p>
        </w:tc>
      </w:tr>
      <w:tr>
        <w:tblPrEx>
          <w:tblCellMar>
            <w:top w:w="0" w:type="dxa"/>
            <w:left w:w="10" w:type="dxa"/>
            <w:bottom w:w="0" w:type="dxa"/>
            <w:right w:w="10" w:type="dxa"/>
          </w:tblCellMar>
        </w:tblPrEx>
        <w:trPr>
          <w:jc w:val="center"/>
        </w:trPr>
        <w:tc>
          <w:tcPr>
            <w:tcW w:w="944" w:type="pct"/>
            <w:vMerge w:val="restart"/>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院级</w:t>
            </w:r>
          </w:p>
        </w:tc>
        <w:tc>
          <w:tcPr>
            <w:tcW w:w="207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198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4</w:t>
            </w:r>
          </w:p>
        </w:tc>
      </w:tr>
      <w:tr>
        <w:tblPrEx>
          <w:tblCellMar>
            <w:top w:w="0" w:type="dxa"/>
            <w:left w:w="10" w:type="dxa"/>
            <w:bottom w:w="0" w:type="dxa"/>
            <w:right w:w="10" w:type="dxa"/>
          </w:tblCellMar>
        </w:tblPrEx>
        <w:trPr>
          <w:jc w:val="center"/>
        </w:trPr>
        <w:tc>
          <w:tcPr>
            <w:tcW w:w="944"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7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198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2</w:t>
            </w:r>
          </w:p>
        </w:tc>
      </w:tr>
      <w:tr>
        <w:tblPrEx>
          <w:tblCellMar>
            <w:top w:w="0" w:type="dxa"/>
            <w:left w:w="10" w:type="dxa"/>
            <w:bottom w:w="0" w:type="dxa"/>
            <w:right w:w="10" w:type="dxa"/>
          </w:tblCellMar>
        </w:tblPrEx>
        <w:trPr>
          <w:jc w:val="center"/>
        </w:trPr>
        <w:tc>
          <w:tcPr>
            <w:tcW w:w="944"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7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198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w:t>
            </w:r>
          </w:p>
        </w:tc>
      </w:tr>
      <w:tr>
        <w:tblPrEx>
          <w:tblCellMar>
            <w:top w:w="0" w:type="dxa"/>
            <w:left w:w="10" w:type="dxa"/>
            <w:bottom w:w="0" w:type="dxa"/>
            <w:right w:w="10" w:type="dxa"/>
          </w:tblCellMar>
        </w:tblPrEx>
        <w:trPr>
          <w:jc w:val="center"/>
        </w:trPr>
        <w:tc>
          <w:tcPr>
            <w:tcW w:w="944"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7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优秀奖</w:t>
            </w:r>
          </w:p>
        </w:tc>
        <w:tc>
          <w:tcPr>
            <w:tcW w:w="1982"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5</w:t>
            </w:r>
          </w:p>
        </w:tc>
      </w:tr>
    </w:tbl>
    <w:p>
      <w:pPr>
        <w:spacing w:before="100" w:after="100" w:line="600" w:lineRule="exact"/>
        <w:ind w:firstLine="936" w:firstLineChars="300"/>
        <w:jc w:val="left"/>
        <w:rPr>
          <w:rFonts w:ascii="微软雅黑" w:hAnsi="微软雅黑" w:eastAsia="微软雅黑"/>
          <w:color w:val="auto"/>
          <w:spacing w:val="-4"/>
          <w:sz w:val="32"/>
          <w:szCs w:val="32"/>
          <w:highlight w:val="none"/>
        </w:rPr>
      </w:pPr>
    </w:p>
    <w:p>
      <w:pPr>
        <w:spacing w:before="100" w:after="100" w:line="600" w:lineRule="exact"/>
        <w:ind w:firstLine="936" w:firstLineChars="300"/>
        <w:jc w:val="left"/>
        <w:rPr>
          <w:rFonts w:hint="eastAsia" w:ascii="仿宋_GB2312" w:hAnsi="仿宋_GB2312" w:eastAsia="仿宋_GB2312" w:cs="仿宋_GB2312"/>
          <w:color w:val="auto"/>
          <w:sz w:val="32"/>
          <w:szCs w:val="32"/>
          <w:highlight w:val="none"/>
        </w:rPr>
      </w:pPr>
      <w:r>
        <w:rPr>
          <w:rFonts w:ascii="微软雅黑" w:hAnsi="微软雅黑" w:eastAsia="微软雅黑"/>
          <w:color w:val="auto"/>
          <w:spacing w:val="-4"/>
          <w:sz w:val="32"/>
          <w:szCs w:val="32"/>
          <w:highlight w:val="none"/>
        </w:rPr>
        <w:fldChar w:fldCharType="begin"/>
      </w:r>
      <w:r>
        <w:rPr>
          <w:rFonts w:ascii="微软雅黑" w:hAnsi="微软雅黑" w:eastAsia="微软雅黑"/>
          <w:color w:val="auto"/>
          <w:spacing w:val="-4"/>
          <w:sz w:val="32"/>
          <w:szCs w:val="32"/>
          <w:highlight w:val="none"/>
        </w:rPr>
        <w:instrText xml:space="preserve"> </w:instrText>
      </w:r>
      <w:r>
        <w:rPr>
          <w:rFonts w:hint="eastAsia" w:ascii="微软雅黑" w:hAnsi="微软雅黑" w:eastAsia="微软雅黑"/>
          <w:color w:val="auto"/>
          <w:spacing w:val="-4"/>
          <w:sz w:val="32"/>
          <w:szCs w:val="32"/>
          <w:highlight w:val="none"/>
        </w:rPr>
        <w:instrText xml:space="preserve">= 2 \* GB3</w:instrText>
      </w:r>
      <w:r>
        <w:rPr>
          <w:rFonts w:ascii="微软雅黑" w:hAnsi="微软雅黑" w:eastAsia="微软雅黑"/>
          <w:color w:val="auto"/>
          <w:spacing w:val="-4"/>
          <w:sz w:val="32"/>
          <w:szCs w:val="32"/>
          <w:highlight w:val="none"/>
        </w:rPr>
        <w:instrText xml:space="preserve"> </w:instrText>
      </w:r>
      <w:r>
        <w:rPr>
          <w:rFonts w:ascii="微软雅黑" w:hAnsi="微软雅黑" w:eastAsia="微软雅黑"/>
          <w:color w:val="auto"/>
          <w:spacing w:val="-4"/>
          <w:sz w:val="32"/>
          <w:szCs w:val="32"/>
          <w:highlight w:val="none"/>
        </w:rPr>
        <w:fldChar w:fldCharType="separate"/>
      </w:r>
      <w:r>
        <w:rPr>
          <w:rFonts w:hint="eastAsia" w:ascii="微软雅黑" w:hAnsi="微软雅黑" w:eastAsia="微软雅黑"/>
          <w:color w:val="auto"/>
          <w:spacing w:val="-4"/>
          <w:sz w:val="32"/>
          <w:szCs w:val="32"/>
          <w:highlight w:val="none"/>
        </w:rPr>
        <w:t>②</w:t>
      </w:r>
      <w:r>
        <w:rPr>
          <w:rFonts w:ascii="微软雅黑" w:hAnsi="微软雅黑" w:eastAsia="微软雅黑"/>
          <w:color w:val="auto"/>
          <w:spacing w:val="-4"/>
          <w:sz w:val="32"/>
          <w:szCs w:val="32"/>
          <w:highlight w:val="none"/>
        </w:rPr>
        <w:fldChar w:fldCharType="end"/>
      </w:r>
      <w:r>
        <w:rPr>
          <w:rFonts w:hint="eastAsia" w:ascii="仿宋_GB2312" w:hAnsi="仿宋_GB2312" w:eastAsia="仿宋_GB2312" w:cs="仿宋_GB2312"/>
          <w:color w:val="auto"/>
          <w:sz w:val="32"/>
          <w:szCs w:val="32"/>
          <w:highlight w:val="none"/>
        </w:rPr>
        <w:t>团队获奖个人得分：</w:t>
      </w:r>
    </w:p>
    <w:p>
      <w:pPr>
        <w:spacing w:before="100" w:after="100" w:line="600" w:lineRule="exact"/>
        <w:ind w:firstLine="960" w:firstLineChars="3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团队获奖个人得分=获奖等级基础分×个人系数</w:t>
      </w:r>
    </w:p>
    <w:p>
      <w:pPr>
        <w:spacing w:before="100" w:after="100"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表14  团体加分标准</w:t>
      </w:r>
    </w:p>
    <w:tbl>
      <w:tblPr>
        <w:tblStyle w:val="4"/>
        <w:tblW w:w="4597" w:type="pct"/>
        <w:jc w:val="center"/>
        <w:tblLayout w:type="autofit"/>
        <w:tblCellMar>
          <w:top w:w="0" w:type="dxa"/>
          <w:left w:w="10" w:type="dxa"/>
          <w:bottom w:w="0" w:type="dxa"/>
          <w:right w:w="10" w:type="dxa"/>
        </w:tblCellMar>
      </w:tblPr>
      <w:tblGrid>
        <w:gridCol w:w="1733"/>
        <w:gridCol w:w="3743"/>
        <w:gridCol w:w="3584"/>
      </w:tblGrid>
      <w:tr>
        <w:tblPrEx>
          <w:tblCellMar>
            <w:top w:w="0" w:type="dxa"/>
            <w:left w:w="10" w:type="dxa"/>
            <w:bottom w:w="0" w:type="dxa"/>
            <w:right w:w="10" w:type="dxa"/>
          </w:tblCellMar>
        </w:tblPrEx>
        <w:trPr>
          <w:jc w:val="center"/>
        </w:trPr>
        <w:tc>
          <w:tcPr>
            <w:tcW w:w="956"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获奖级别</w:t>
            </w:r>
          </w:p>
        </w:tc>
        <w:tc>
          <w:tcPr>
            <w:tcW w:w="2065" w:type="pct"/>
            <w:tcBorders>
              <w:top w:val="single" w:color="000000" w:sz="4"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获奖等级</w:t>
            </w:r>
          </w:p>
        </w:tc>
        <w:tc>
          <w:tcPr>
            <w:tcW w:w="1977" w:type="pct"/>
            <w:tcBorders>
              <w:top w:val="single" w:color="000000" w:sz="4"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基础分</w:t>
            </w:r>
          </w:p>
        </w:tc>
      </w:tr>
      <w:tr>
        <w:tblPrEx>
          <w:tblCellMar>
            <w:top w:w="0" w:type="dxa"/>
            <w:left w:w="10" w:type="dxa"/>
            <w:bottom w:w="0" w:type="dxa"/>
            <w:right w:w="10" w:type="dxa"/>
          </w:tblCellMar>
        </w:tblPrEx>
        <w:trPr>
          <w:jc w:val="center"/>
        </w:trPr>
        <w:tc>
          <w:tcPr>
            <w:tcW w:w="956" w:type="pct"/>
            <w:vMerge w:val="restart"/>
            <w:tcBorders>
              <w:top w:val="single" w:color="000000" w:sz="4" w:space="0"/>
              <w:left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国家级</w:t>
            </w:r>
          </w:p>
        </w:tc>
        <w:tc>
          <w:tcPr>
            <w:tcW w:w="2065" w:type="pct"/>
            <w:tcBorders>
              <w:top w:val="single" w:color="000000" w:sz="4"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特等奖</w:t>
            </w:r>
          </w:p>
        </w:tc>
        <w:tc>
          <w:tcPr>
            <w:tcW w:w="1977" w:type="pct"/>
            <w:tcBorders>
              <w:top w:val="single" w:color="000000" w:sz="4"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20</w:t>
            </w:r>
          </w:p>
        </w:tc>
      </w:tr>
      <w:tr>
        <w:tblPrEx>
          <w:tblCellMar>
            <w:top w:w="0" w:type="dxa"/>
            <w:left w:w="10" w:type="dxa"/>
            <w:bottom w:w="0" w:type="dxa"/>
            <w:right w:w="10" w:type="dxa"/>
          </w:tblCellMar>
        </w:tblPrEx>
        <w:trPr>
          <w:jc w:val="center"/>
        </w:trPr>
        <w:tc>
          <w:tcPr>
            <w:tcW w:w="956" w:type="pct"/>
            <w:vMerge w:val="continue"/>
            <w:tcBorders>
              <w:left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15</w:t>
            </w:r>
          </w:p>
        </w:tc>
      </w:tr>
      <w:tr>
        <w:tblPrEx>
          <w:tblCellMar>
            <w:top w:w="0" w:type="dxa"/>
            <w:left w:w="10" w:type="dxa"/>
            <w:bottom w:w="0" w:type="dxa"/>
            <w:right w:w="10" w:type="dxa"/>
          </w:tblCellMar>
        </w:tblPrEx>
        <w:trPr>
          <w:jc w:val="center"/>
        </w:trPr>
        <w:tc>
          <w:tcPr>
            <w:tcW w:w="956" w:type="pct"/>
            <w:vMerge w:val="continue"/>
            <w:tcBorders>
              <w:left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12</w:t>
            </w:r>
          </w:p>
        </w:tc>
      </w:tr>
      <w:tr>
        <w:tblPrEx>
          <w:tblCellMar>
            <w:top w:w="0" w:type="dxa"/>
            <w:left w:w="10" w:type="dxa"/>
            <w:bottom w:w="0" w:type="dxa"/>
            <w:right w:w="10" w:type="dxa"/>
          </w:tblCellMar>
        </w:tblPrEx>
        <w:trPr>
          <w:jc w:val="center"/>
        </w:trPr>
        <w:tc>
          <w:tcPr>
            <w:tcW w:w="956" w:type="pct"/>
            <w:vMerge w:val="continue"/>
            <w:tcBorders>
              <w:left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10</w:t>
            </w:r>
          </w:p>
        </w:tc>
      </w:tr>
      <w:tr>
        <w:tblPrEx>
          <w:tblCellMar>
            <w:top w:w="0" w:type="dxa"/>
            <w:left w:w="10" w:type="dxa"/>
            <w:bottom w:w="0" w:type="dxa"/>
            <w:right w:w="10" w:type="dxa"/>
          </w:tblCellMar>
        </w:tblPrEx>
        <w:trPr>
          <w:jc w:val="center"/>
        </w:trPr>
        <w:tc>
          <w:tcPr>
            <w:tcW w:w="956" w:type="pct"/>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优秀奖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8</w:t>
            </w:r>
          </w:p>
        </w:tc>
      </w:tr>
      <w:tr>
        <w:tblPrEx>
          <w:tblCellMar>
            <w:top w:w="0" w:type="dxa"/>
            <w:left w:w="10" w:type="dxa"/>
            <w:bottom w:w="0" w:type="dxa"/>
            <w:right w:w="10" w:type="dxa"/>
          </w:tblCellMar>
        </w:tblPrEx>
        <w:trPr>
          <w:jc w:val="center"/>
        </w:trPr>
        <w:tc>
          <w:tcPr>
            <w:tcW w:w="956" w:type="pct"/>
            <w:vMerge w:val="restart"/>
            <w:tcBorders>
              <w:left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省级</w:t>
            </w: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特等奖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eastAsia="仿宋_GB2312"/>
                <w:color w:val="auto"/>
                <w:sz w:val="32"/>
                <w:szCs w:val="32"/>
                <w:highlight w:val="none"/>
              </w:rPr>
            </w:pPr>
            <w:r>
              <w:rPr>
                <w:rFonts w:eastAsia="仿宋_GB2312"/>
                <w:color w:val="auto"/>
                <w:sz w:val="32"/>
                <w:szCs w:val="32"/>
                <w:highlight w:val="none"/>
              </w:rPr>
              <w:t>15</w:t>
            </w:r>
          </w:p>
        </w:tc>
      </w:tr>
      <w:tr>
        <w:tblPrEx>
          <w:tblCellMar>
            <w:top w:w="0" w:type="dxa"/>
            <w:left w:w="10" w:type="dxa"/>
            <w:bottom w:w="0" w:type="dxa"/>
            <w:right w:w="10" w:type="dxa"/>
          </w:tblCellMar>
        </w:tblPrEx>
        <w:trPr>
          <w:jc w:val="center"/>
        </w:trPr>
        <w:tc>
          <w:tcPr>
            <w:tcW w:w="956" w:type="pct"/>
            <w:vMerge w:val="continue"/>
            <w:tcBorders>
              <w:left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12</w:t>
            </w:r>
          </w:p>
        </w:tc>
      </w:tr>
      <w:tr>
        <w:tblPrEx>
          <w:tblCellMar>
            <w:top w:w="0" w:type="dxa"/>
            <w:left w:w="10" w:type="dxa"/>
            <w:bottom w:w="0" w:type="dxa"/>
            <w:right w:w="10" w:type="dxa"/>
          </w:tblCellMar>
        </w:tblPrEx>
        <w:trPr>
          <w:jc w:val="center"/>
        </w:trPr>
        <w:tc>
          <w:tcPr>
            <w:tcW w:w="956" w:type="pct"/>
            <w:vMerge w:val="continue"/>
            <w:tcBorders>
              <w:left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10</w:t>
            </w:r>
          </w:p>
        </w:tc>
      </w:tr>
      <w:tr>
        <w:tblPrEx>
          <w:tblCellMar>
            <w:top w:w="0" w:type="dxa"/>
            <w:left w:w="10" w:type="dxa"/>
            <w:bottom w:w="0" w:type="dxa"/>
            <w:right w:w="10" w:type="dxa"/>
          </w:tblCellMar>
        </w:tblPrEx>
        <w:trPr>
          <w:jc w:val="center"/>
        </w:trPr>
        <w:tc>
          <w:tcPr>
            <w:tcW w:w="956" w:type="pct"/>
            <w:vMerge w:val="continue"/>
            <w:tcBorders>
              <w:left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8</w:t>
            </w:r>
          </w:p>
        </w:tc>
      </w:tr>
      <w:tr>
        <w:tblPrEx>
          <w:tblCellMar>
            <w:top w:w="0" w:type="dxa"/>
            <w:left w:w="10" w:type="dxa"/>
            <w:bottom w:w="0" w:type="dxa"/>
            <w:right w:w="10" w:type="dxa"/>
          </w:tblCellMar>
        </w:tblPrEx>
        <w:trPr>
          <w:jc w:val="center"/>
        </w:trPr>
        <w:tc>
          <w:tcPr>
            <w:tcW w:w="956" w:type="pct"/>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优秀奖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6</w:t>
            </w:r>
          </w:p>
        </w:tc>
      </w:tr>
      <w:tr>
        <w:tblPrEx>
          <w:tblCellMar>
            <w:top w:w="0" w:type="dxa"/>
            <w:left w:w="10" w:type="dxa"/>
            <w:bottom w:w="0" w:type="dxa"/>
            <w:right w:w="10" w:type="dxa"/>
          </w:tblCellMar>
        </w:tblPrEx>
        <w:trPr>
          <w:jc w:val="center"/>
        </w:trPr>
        <w:tc>
          <w:tcPr>
            <w:tcW w:w="956" w:type="pct"/>
            <w:vMerge w:val="restart"/>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校级</w:t>
            </w: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6</w:t>
            </w:r>
          </w:p>
        </w:tc>
      </w:tr>
      <w:tr>
        <w:tblPrEx>
          <w:tblCellMar>
            <w:top w:w="0" w:type="dxa"/>
            <w:left w:w="10" w:type="dxa"/>
            <w:bottom w:w="0" w:type="dxa"/>
            <w:right w:w="10" w:type="dxa"/>
          </w:tblCellMar>
        </w:tblPrEx>
        <w:trPr>
          <w:jc w:val="center"/>
        </w:trPr>
        <w:tc>
          <w:tcPr>
            <w:tcW w:w="956"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4</w:t>
            </w:r>
          </w:p>
        </w:tc>
      </w:tr>
      <w:tr>
        <w:tblPrEx>
          <w:tblCellMar>
            <w:top w:w="0" w:type="dxa"/>
            <w:left w:w="10" w:type="dxa"/>
            <w:bottom w:w="0" w:type="dxa"/>
            <w:right w:w="10" w:type="dxa"/>
          </w:tblCellMar>
        </w:tblPrEx>
        <w:trPr>
          <w:jc w:val="center"/>
        </w:trPr>
        <w:tc>
          <w:tcPr>
            <w:tcW w:w="956"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2</w:t>
            </w:r>
          </w:p>
        </w:tc>
      </w:tr>
      <w:tr>
        <w:tblPrEx>
          <w:tblCellMar>
            <w:top w:w="0" w:type="dxa"/>
            <w:left w:w="10" w:type="dxa"/>
            <w:bottom w:w="0" w:type="dxa"/>
            <w:right w:w="10" w:type="dxa"/>
          </w:tblCellMar>
        </w:tblPrEx>
        <w:trPr>
          <w:jc w:val="center"/>
        </w:trPr>
        <w:tc>
          <w:tcPr>
            <w:tcW w:w="956"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优秀奖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w:t>
            </w:r>
          </w:p>
        </w:tc>
      </w:tr>
      <w:tr>
        <w:tblPrEx>
          <w:tblCellMar>
            <w:top w:w="0" w:type="dxa"/>
            <w:left w:w="10" w:type="dxa"/>
            <w:bottom w:w="0" w:type="dxa"/>
            <w:right w:w="10" w:type="dxa"/>
          </w:tblCellMar>
        </w:tblPrEx>
        <w:trPr>
          <w:jc w:val="center"/>
        </w:trPr>
        <w:tc>
          <w:tcPr>
            <w:tcW w:w="956" w:type="pct"/>
            <w:vMerge w:val="restart"/>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院级</w:t>
            </w: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4</w:t>
            </w:r>
          </w:p>
        </w:tc>
      </w:tr>
      <w:tr>
        <w:tblPrEx>
          <w:tblCellMar>
            <w:top w:w="0" w:type="dxa"/>
            <w:left w:w="10" w:type="dxa"/>
            <w:bottom w:w="0" w:type="dxa"/>
            <w:right w:w="10" w:type="dxa"/>
          </w:tblCellMar>
        </w:tblPrEx>
        <w:trPr>
          <w:jc w:val="center"/>
        </w:trPr>
        <w:tc>
          <w:tcPr>
            <w:tcW w:w="956"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2</w:t>
            </w:r>
          </w:p>
        </w:tc>
      </w:tr>
      <w:tr>
        <w:tblPrEx>
          <w:tblCellMar>
            <w:top w:w="0" w:type="dxa"/>
            <w:left w:w="10" w:type="dxa"/>
            <w:bottom w:w="0" w:type="dxa"/>
            <w:right w:w="10" w:type="dxa"/>
          </w:tblCellMar>
        </w:tblPrEx>
        <w:trPr>
          <w:jc w:val="center"/>
        </w:trPr>
        <w:tc>
          <w:tcPr>
            <w:tcW w:w="956"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w:t>
            </w:r>
          </w:p>
        </w:tc>
      </w:tr>
      <w:tr>
        <w:tblPrEx>
          <w:tblCellMar>
            <w:top w:w="0" w:type="dxa"/>
            <w:left w:w="10" w:type="dxa"/>
            <w:bottom w:w="0" w:type="dxa"/>
            <w:right w:w="10" w:type="dxa"/>
          </w:tblCellMar>
        </w:tblPrEx>
        <w:trPr>
          <w:jc w:val="center"/>
        </w:trPr>
        <w:tc>
          <w:tcPr>
            <w:tcW w:w="956"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65"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优秀奖</w:t>
            </w:r>
          </w:p>
        </w:tc>
        <w:tc>
          <w:tcPr>
            <w:tcW w:w="1977"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5</w:t>
            </w:r>
          </w:p>
        </w:tc>
      </w:tr>
    </w:tbl>
    <w:p>
      <w:pPr>
        <w:spacing w:before="100" w:after="100" w:line="600" w:lineRule="exact"/>
        <w:jc w:val="left"/>
        <w:rPr>
          <w:rFonts w:hint="eastAsia" w:ascii="仿宋_GB2312" w:hAnsi="仿宋_GB2312" w:eastAsia="仿宋_GB2312" w:cs="仿宋_GB2312"/>
          <w:color w:val="auto"/>
          <w:sz w:val="32"/>
          <w:szCs w:val="32"/>
          <w:highlight w:val="none"/>
        </w:rPr>
      </w:pPr>
    </w:p>
    <w:p>
      <w:pPr>
        <w:spacing w:before="100" w:after="100"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其他说明：</w:t>
      </w:r>
    </w:p>
    <w:p>
      <w:pPr>
        <w:spacing w:before="100" w:after="100" w:line="60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Ⅰ.未确定获奖等级的奖项按照相应级别奖项的二等奖计算；参加同一比赛不同项目的，以最高分计，不重复计分。</w:t>
      </w:r>
    </w:p>
    <w:p>
      <w:pPr>
        <w:widowControl/>
        <w:spacing w:before="156" w:beforeLines="50" w:line="360" w:lineRule="auto"/>
        <w:ind w:firstLine="640" w:firstLineChars="200"/>
        <w:outlineLvl w:val="1"/>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Ⅱ.个人系数：排名第一为</w:t>
      </w:r>
      <w:r>
        <w:rPr>
          <w:rFonts w:eastAsia="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rPr>
        <w:t>.</w:t>
      </w:r>
      <w:r>
        <w:rPr>
          <w:rFonts w:eastAsia="仿宋_GB2312"/>
          <w:color w:val="auto"/>
          <w:kern w:val="0"/>
          <w:sz w:val="32"/>
          <w:szCs w:val="32"/>
          <w:highlight w:val="none"/>
        </w:rPr>
        <w:t>0</w:t>
      </w:r>
      <w:r>
        <w:rPr>
          <w:rFonts w:hint="eastAsia" w:ascii="仿宋_GB2312" w:hAnsi="仿宋_GB2312" w:eastAsia="仿宋_GB2312" w:cs="仿宋_GB2312"/>
          <w:color w:val="auto"/>
          <w:kern w:val="0"/>
          <w:sz w:val="32"/>
          <w:szCs w:val="32"/>
          <w:highlight w:val="none"/>
        </w:rPr>
        <w:t>，主要参与（含教师省级及以下排名前三，国家级排名前五）为</w:t>
      </w:r>
      <w:r>
        <w:rPr>
          <w:rFonts w:eastAsia="仿宋_GB2312"/>
          <w:color w:val="auto"/>
          <w:kern w:val="0"/>
          <w:sz w:val="32"/>
          <w:szCs w:val="32"/>
          <w:highlight w:val="none"/>
        </w:rPr>
        <w:t>0</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，其余为</w:t>
      </w:r>
      <w:r>
        <w:rPr>
          <w:rFonts w:eastAsia="仿宋_GB2312"/>
          <w:color w:val="auto"/>
          <w:kern w:val="0"/>
          <w:sz w:val="32"/>
          <w:szCs w:val="32"/>
          <w:highlight w:val="none"/>
        </w:rPr>
        <w:t>0</w:t>
      </w:r>
      <w:r>
        <w:rPr>
          <w:rFonts w:hint="eastAsia" w:ascii="仿宋_GB2312" w:hAnsi="仿宋_GB2312" w:eastAsia="仿宋_GB2312" w:cs="仿宋_GB2312"/>
          <w:color w:val="auto"/>
          <w:kern w:val="0"/>
          <w:sz w:val="32"/>
          <w:szCs w:val="32"/>
          <w:highlight w:val="none"/>
        </w:rPr>
        <w:t>.</w:t>
      </w:r>
      <w:r>
        <w:rPr>
          <w:rFonts w:eastAsia="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不能确定排名次序的按照平均值，计算公式如下：</w:t>
      </w:r>
    </w:p>
    <w:p>
      <w:pPr>
        <w:widowControl/>
        <w:spacing w:before="156" w:beforeLines="50" w:line="360" w:lineRule="auto"/>
        <w:ind w:firstLine="480" w:firstLineChars="200"/>
        <w:outlineLvl w:val="1"/>
        <w:rPr>
          <w:rFonts w:hint="default" w:hAnsi="Cambria Math" w:eastAsia="仿宋_GB2312" w:cs="仿宋_GB2312"/>
          <w:i w:val="0"/>
          <w:color w:val="auto"/>
          <w:kern w:val="0"/>
          <w:sz w:val="32"/>
          <w:szCs w:val="32"/>
          <w:highlight w:val="none"/>
          <w:lang w:val="en-US" w:eastAsia="zh-CN" w:bidi="ar-SA"/>
        </w:rPr>
      </w:pPr>
      <m:oMathPara>
        <m:oMath>
          <m:r>
            <m:rPr>
              <m:sty m:val="p"/>
            </m:rPr>
            <w:rPr>
              <w:rFonts w:hint="default" w:ascii="Cambria Math" w:hAnsi="仿宋_GB2312" w:eastAsia="仿宋_GB2312" w:cs="仿宋_GB2312"/>
              <w:color w:val="auto"/>
              <w:kern w:val="0"/>
              <w:sz w:val="24"/>
              <w:szCs w:val="32"/>
              <w:highlight w:val="none"/>
              <w:lang w:val="en-US" w:eastAsia="zh-CN"/>
            </w:rPr>
            <m:t xml:space="preserve"> </m:t>
          </m:r>
          <m:r>
            <m:rPr>
              <m:sty m:val="p"/>
            </m:rPr>
            <w:rPr>
              <w:rFonts w:hint="eastAsia" w:ascii="Cambria Math" w:hAnsi="Cambria Math" w:eastAsia="仿宋_GB2312" w:cs="仿宋_GB2312"/>
              <w:color w:val="auto"/>
              <w:kern w:val="0"/>
              <w:sz w:val="24"/>
              <w:szCs w:val="32"/>
              <w:highlight w:val="none"/>
              <w:lang w:val="en-US" w:eastAsia="zh-CN" w:bidi="ar-SA"/>
            </w:rPr>
            <m:t>平均值</m:t>
          </m:r>
          <m:r>
            <m:rPr>
              <m:sty m:val="p"/>
            </m:rPr>
            <w:rPr>
              <w:rFonts w:hint="eastAsia" w:ascii="Cambria Math" w:hAnsi="Cambria Math" w:eastAsia="仿宋_GB2312" w:cs="仿宋_GB2312"/>
              <w:color w:val="auto"/>
              <w:kern w:val="0"/>
              <w:sz w:val="24"/>
              <w:szCs w:val="24"/>
              <w:highlight w:val="none"/>
              <w:lang w:val="en-US" w:eastAsia="zh-CN" w:bidi="ar-SA"/>
            </w:rPr>
            <m:t>=</m:t>
          </m:r>
          <m:f>
            <m:fPr>
              <m:ctrlPr>
                <w:rPr>
                  <w:rFonts w:hint="eastAsia" w:ascii="Cambria Math" w:hAnsi="Cambria Math" w:eastAsia="仿宋_GB2312" w:cs="仿宋_GB2312"/>
                  <w:color w:val="auto"/>
                  <w:kern w:val="0"/>
                  <w:sz w:val="24"/>
                  <w:szCs w:val="24"/>
                  <w:highlight w:val="none"/>
                  <w:lang w:val="en-US" w:eastAsia="zh-CN" w:bidi="ar-SA"/>
                </w:rPr>
              </m:ctrlPr>
            </m:fPr>
            <m:num>
              <m:r>
                <m:rPr>
                  <m:sty m:val="p"/>
                </m:rPr>
                <w:rPr>
                  <w:rFonts w:hint="default" w:ascii="Cambria Math" w:hAnsi="Cambria Math" w:eastAsia="仿宋_GB2312" w:cs="仿宋_GB2312"/>
                  <w:color w:val="auto"/>
                  <w:kern w:val="0"/>
                  <w:sz w:val="24"/>
                  <w:szCs w:val="24"/>
                  <w:highlight w:val="none"/>
                  <w:lang w:val="en-US" w:eastAsia="zh-CN" w:bidi="ar-SA"/>
                </w:rPr>
                <m:t>1.0</m:t>
              </m:r>
              <m:r>
                <m:rPr>
                  <m:sty m:val="p"/>
                </m:rPr>
                <w:rPr>
                  <w:rFonts w:ascii="Cambria Math" w:hAnsi="Cambria Math" w:cs="仿宋_GB2312"/>
                  <w:color w:val="auto"/>
                  <w:kern w:val="0"/>
                  <w:sz w:val="24"/>
                  <w:szCs w:val="24"/>
                  <w:highlight w:val="none"/>
                  <w:lang w:val="en-US" w:bidi="ar-SA"/>
                </w:rPr>
                <m:t>×</m:t>
              </m:r>
              <m:r>
                <m:rPr>
                  <m:sty m:val="p"/>
                </m:rPr>
                <w:rPr>
                  <w:rFonts w:hint="eastAsia" w:ascii="Cambria Math" w:hAnsi="Cambria Math" w:cs="仿宋_GB2312"/>
                  <w:color w:val="auto"/>
                  <w:kern w:val="0"/>
                  <w:sz w:val="24"/>
                  <w:szCs w:val="24"/>
                  <w:highlight w:val="none"/>
                  <w:lang w:val="en-US" w:eastAsia="zh-CN" w:bidi="ar-SA"/>
                </w:rPr>
                <m:t>基础分</m:t>
              </m:r>
              <m:r>
                <m:rPr>
                  <m:sty m:val="p"/>
                </m:rPr>
                <w:rPr>
                  <w:rFonts w:hint="default" w:ascii="Cambria Math" w:hAnsi="Cambria Math" w:cs="仿宋_GB2312"/>
                  <w:color w:val="auto"/>
                  <w:kern w:val="0"/>
                  <w:sz w:val="24"/>
                  <w:szCs w:val="24"/>
                  <w:highlight w:val="none"/>
                  <w:lang w:val="en-US" w:eastAsia="zh-CN" w:bidi="ar-SA"/>
                </w:rPr>
                <m:t>+0.5</m:t>
              </m:r>
              <m:r>
                <m:rPr>
                  <m:sty m:val="p"/>
                </m:rPr>
                <w:rPr>
                  <w:rFonts w:ascii="Cambria Math" w:hAnsi="Cambria Math" w:cs="仿宋_GB2312"/>
                  <w:color w:val="auto"/>
                  <w:kern w:val="0"/>
                  <w:sz w:val="24"/>
                  <w:szCs w:val="24"/>
                  <w:highlight w:val="none"/>
                  <w:lang w:val="en-US" w:bidi="ar-SA"/>
                </w:rPr>
                <m:t>×</m:t>
              </m:r>
              <m:r>
                <m:rPr>
                  <m:sty m:val="p"/>
                </m:rPr>
                <w:rPr>
                  <w:rFonts w:hint="eastAsia" w:ascii="Cambria Math" w:hAnsi="Cambria Math" w:cs="仿宋_GB2312"/>
                  <w:color w:val="auto"/>
                  <w:kern w:val="0"/>
                  <w:sz w:val="24"/>
                  <w:szCs w:val="24"/>
                  <w:highlight w:val="none"/>
                  <w:lang w:val="en-US" w:eastAsia="zh-CN" w:bidi="ar-SA"/>
                </w:rPr>
                <m:t>基础分</m:t>
              </m:r>
              <m:r>
                <m:rPr>
                  <m:sty m:val="p"/>
                </m:rPr>
                <w:rPr>
                  <w:rFonts w:ascii="Cambria Math" w:hAnsi="Cambria Math" w:cs="仿宋_GB2312"/>
                  <w:color w:val="auto"/>
                  <w:kern w:val="0"/>
                  <w:sz w:val="24"/>
                  <w:szCs w:val="24"/>
                  <w:highlight w:val="none"/>
                  <w:lang w:val="en-US" w:bidi="ar-SA"/>
                </w:rPr>
                <m:t>×</m:t>
              </m:r>
              <m:r>
                <m:rPr>
                  <m:sty m:val="p"/>
                </m:rPr>
                <w:rPr>
                  <w:rFonts w:hint="eastAsia" w:ascii="Cambria Math" w:hAnsi="Cambria Math" w:cs="仿宋_GB2312"/>
                  <w:color w:val="auto"/>
                  <w:kern w:val="0"/>
                  <w:sz w:val="24"/>
                  <w:szCs w:val="24"/>
                  <w:highlight w:val="none"/>
                  <w:lang w:val="en-US" w:eastAsia="zh-CN" w:bidi="ar-SA"/>
                </w:rPr>
                <m:t>（省级</m:t>
              </m:r>
              <m:r>
                <m:rPr>
                  <m:sty m:val="p"/>
                </m:rPr>
                <w:rPr>
                  <w:rFonts w:ascii="Cambria Math" w:hAnsi="Cambria Math" w:cs="仿宋_GB2312"/>
                  <w:color w:val="auto"/>
                  <w:kern w:val="0"/>
                  <w:sz w:val="24"/>
                  <w:szCs w:val="24"/>
                  <w:highlight w:val="none"/>
                  <w:lang w:val="en-US" w:bidi="ar-SA"/>
                </w:rPr>
                <m:t>×</m:t>
              </m:r>
              <m:r>
                <m:rPr>
                  <m:sty m:val="p"/>
                </m:rPr>
                <w:rPr>
                  <w:rFonts w:hint="default" w:ascii="Cambria Math" w:hAnsi="Cambria Math" w:cs="仿宋_GB2312"/>
                  <w:color w:val="auto"/>
                  <w:kern w:val="0"/>
                  <w:sz w:val="24"/>
                  <w:szCs w:val="24"/>
                  <w:highlight w:val="none"/>
                  <w:lang w:val="en-US" w:eastAsia="zh-CN" w:bidi="ar-SA"/>
                </w:rPr>
                <m:t>3/</m:t>
              </m:r>
              <m:r>
                <m:rPr>
                  <m:sty m:val="p"/>
                </m:rPr>
                <w:rPr>
                  <w:rFonts w:hint="eastAsia" w:ascii="Cambria Math" w:hAnsi="Cambria Math" w:cs="仿宋_GB2312"/>
                  <w:color w:val="auto"/>
                  <w:kern w:val="0"/>
                  <w:sz w:val="24"/>
                  <w:szCs w:val="24"/>
                  <w:highlight w:val="none"/>
                  <w:lang w:val="en-US" w:eastAsia="zh-CN" w:bidi="ar-SA"/>
                </w:rPr>
                <m:t>国家级</m:t>
              </m:r>
              <m:r>
                <m:rPr>
                  <m:sty m:val="p"/>
                </m:rPr>
                <w:rPr>
                  <w:rFonts w:ascii="Cambria Math" w:hAnsi="Cambria Math" w:cs="仿宋_GB2312"/>
                  <w:color w:val="auto"/>
                  <w:kern w:val="0"/>
                  <w:sz w:val="24"/>
                  <w:szCs w:val="24"/>
                  <w:highlight w:val="none"/>
                  <w:lang w:val="en-US" w:bidi="ar-SA"/>
                </w:rPr>
                <m:t>×</m:t>
              </m:r>
              <m:r>
                <m:rPr>
                  <m:sty m:val="p"/>
                </m:rPr>
                <w:rPr>
                  <w:rFonts w:hint="default" w:ascii="Cambria Math" w:hAnsi="Cambria Math" w:cs="仿宋_GB2312"/>
                  <w:color w:val="auto"/>
                  <w:kern w:val="0"/>
                  <w:sz w:val="24"/>
                  <w:szCs w:val="24"/>
                  <w:highlight w:val="none"/>
                  <w:lang w:val="en-US" w:eastAsia="zh-CN" w:bidi="ar-SA"/>
                </w:rPr>
                <m:t>5</m:t>
              </m:r>
              <m:r>
                <m:rPr>
                  <m:sty m:val="p"/>
                </m:rPr>
                <w:rPr>
                  <w:rFonts w:hint="eastAsia" w:ascii="Cambria Math" w:hAnsi="Cambria Math" w:cs="仿宋_GB2312"/>
                  <w:color w:val="auto"/>
                  <w:kern w:val="0"/>
                  <w:sz w:val="24"/>
                  <w:szCs w:val="24"/>
                  <w:highlight w:val="none"/>
                  <w:lang w:val="en-US" w:eastAsia="zh-CN" w:bidi="ar-SA"/>
                </w:rPr>
                <m:t>）</m:t>
              </m:r>
              <m:r>
                <m:rPr>
                  <m:sty m:val="p"/>
                </m:rPr>
                <w:rPr>
                  <w:rFonts w:hint="default" w:ascii="Cambria Math" w:hAnsi="Cambria Math" w:cs="仿宋_GB2312"/>
                  <w:color w:val="auto"/>
                  <w:kern w:val="0"/>
                  <w:sz w:val="24"/>
                  <w:szCs w:val="24"/>
                  <w:highlight w:val="none"/>
                  <w:lang w:val="en-US" w:eastAsia="zh-CN" w:bidi="ar-SA"/>
                </w:rPr>
                <m:t>+0.1</m:t>
              </m:r>
              <m:r>
                <m:rPr>
                  <m:sty m:val="p"/>
                </m:rPr>
                <w:rPr>
                  <w:rFonts w:ascii="Cambria Math" w:hAnsi="Cambria Math" w:cs="仿宋_GB2312"/>
                  <w:color w:val="auto"/>
                  <w:kern w:val="0"/>
                  <w:sz w:val="24"/>
                  <w:szCs w:val="24"/>
                  <w:highlight w:val="none"/>
                  <w:lang w:val="en-US" w:bidi="ar-SA"/>
                </w:rPr>
                <m:t>×</m:t>
              </m:r>
              <m:r>
                <m:rPr>
                  <m:sty m:val="p"/>
                </m:rPr>
                <w:rPr>
                  <w:rFonts w:hint="eastAsia" w:ascii="Cambria Math" w:hAnsi="Cambria Math" w:cs="仿宋_GB2312"/>
                  <w:color w:val="auto"/>
                  <w:kern w:val="0"/>
                  <w:sz w:val="24"/>
                  <w:szCs w:val="24"/>
                  <w:highlight w:val="none"/>
                  <w:lang w:val="en-US" w:eastAsia="zh-CN" w:bidi="ar-SA"/>
                </w:rPr>
                <m:t>基础分</m:t>
              </m:r>
              <m:r>
                <m:rPr>
                  <m:sty m:val="p"/>
                </m:rPr>
                <w:rPr>
                  <w:rFonts w:ascii="Cambria Math" w:hAnsi="Cambria Math" w:cs="仿宋_GB2312"/>
                  <w:color w:val="auto"/>
                  <w:kern w:val="0"/>
                  <w:sz w:val="24"/>
                  <w:szCs w:val="24"/>
                  <w:highlight w:val="none"/>
                  <w:lang w:val="en-US" w:bidi="ar-SA"/>
                </w:rPr>
                <m:t>×</m:t>
              </m:r>
              <m:r>
                <m:rPr>
                  <m:sty m:val="p"/>
                </m:rPr>
                <w:rPr>
                  <w:rFonts w:hint="eastAsia" w:ascii="Cambria Math" w:hAnsi="Cambria Math" w:cs="仿宋_GB2312"/>
                  <w:color w:val="auto"/>
                  <w:kern w:val="0"/>
                  <w:sz w:val="24"/>
                  <w:szCs w:val="24"/>
                  <w:highlight w:val="none"/>
                  <w:lang w:val="en-US" w:eastAsia="zh-CN" w:bidi="ar-SA"/>
                </w:rPr>
                <m:t>其余人数</m:t>
              </m:r>
              <m:ctrlPr>
                <w:rPr>
                  <w:rFonts w:hint="eastAsia" w:ascii="Cambria Math" w:hAnsi="Cambria Math" w:eastAsia="仿宋_GB2312" w:cs="仿宋_GB2312"/>
                  <w:color w:val="auto"/>
                  <w:kern w:val="0"/>
                  <w:sz w:val="24"/>
                  <w:szCs w:val="24"/>
                  <w:highlight w:val="none"/>
                  <w:lang w:val="en-US" w:eastAsia="zh-CN" w:bidi="ar-SA"/>
                </w:rPr>
              </m:ctrlPr>
            </m:num>
            <m:den>
              <m:r>
                <m:rPr>
                  <m:sty m:val="p"/>
                </m:rPr>
                <w:rPr>
                  <w:rFonts w:hint="eastAsia" w:ascii="Cambria Math" w:hAnsi="Cambria Math" w:eastAsia="仿宋_GB2312" w:cs="仿宋_GB2312"/>
                  <w:color w:val="auto"/>
                  <w:kern w:val="0"/>
                  <w:sz w:val="24"/>
                  <w:szCs w:val="24"/>
                  <w:highlight w:val="none"/>
                  <w:lang w:val="en-US" w:eastAsia="zh-CN" w:bidi="ar-SA"/>
                </w:rPr>
                <m:t>总人数</m:t>
              </m:r>
              <m:ctrlPr>
                <w:rPr>
                  <w:rFonts w:hint="eastAsia" w:ascii="Cambria Math" w:hAnsi="Cambria Math" w:eastAsia="仿宋_GB2312" w:cs="仿宋_GB2312"/>
                  <w:color w:val="auto"/>
                  <w:kern w:val="0"/>
                  <w:sz w:val="24"/>
                  <w:szCs w:val="24"/>
                  <w:highlight w:val="none"/>
                  <w:lang w:val="en-US" w:eastAsia="zh-CN" w:bidi="ar-SA"/>
                </w:rPr>
              </m:ctrlPr>
            </m:den>
          </m:f>
        </m:oMath>
      </m:oMathPara>
    </w:p>
    <w:p>
      <w:pPr>
        <w:widowControl/>
        <w:numPr>
          <w:ilvl w:val="0"/>
          <w:numId w:val="1"/>
        </w:numPr>
        <w:spacing w:before="156" w:beforeLines="50" w:line="360" w:lineRule="auto"/>
        <w:ind w:firstLine="640" w:firstLineChars="200"/>
        <w:outlineLvl w:val="1"/>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创新创业项目</w:t>
      </w:r>
    </w:p>
    <w:p>
      <w:pPr>
        <w:widowControl/>
        <w:spacing w:before="156" w:beforeLines="50" w:line="360" w:lineRule="auto"/>
        <w:ind w:left="420" w:leftChars="200"/>
        <w:jc w:val="center"/>
        <w:outlineLvl w:val="1"/>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表15  加分标准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754" w:type="dxa"/>
            <w:noWrap w:val="0"/>
            <w:vAlign w:val="center"/>
          </w:tcPr>
          <w:p>
            <w:pPr>
              <w:spacing w:line="360" w:lineRule="auto"/>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获奖级别</w:t>
            </w:r>
          </w:p>
        </w:tc>
        <w:tc>
          <w:tcPr>
            <w:tcW w:w="2268" w:type="dxa"/>
            <w:noWrap w:val="0"/>
            <w:vAlign w:val="center"/>
          </w:tcPr>
          <w:p>
            <w:pPr>
              <w:spacing w:line="360" w:lineRule="auto"/>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获奖等级</w:t>
            </w:r>
          </w:p>
        </w:tc>
        <w:tc>
          <w:tcPr>
            <w:tcW w:w="2268" w:type="dxa"/>
            <w:noWrap w:val="0"/>
            <w:vAlign w:val="center"/>
          </w:tcPr>
          <w:p>
            <w:pPr>
              <w:spacing w:line="360" w:lineRule="auto"/>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754" w:type="dxa"/>
            <w:vMerge w:val="restart"/>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国家级</w:t>
            </w: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特等奖</w:t>
            </w:r>
          </w:p>
        </w:tc>
        <w:tc>
          <w:tcPr>
            <w:tcW w:w="2268" w:type="dxa"/>
            <w:noWrap w:val="0"/>
            <w:vAlign w:val="center"/>
          </w:tcPr>
          <w:p>
            <w:pPr>
              <w:spacing w:line="360" w:lineRule="auto"/>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1754" w:type="dxa"/>
            <w:vMerge w:val="continue"/>
            <w:noWrap w:val="0"/>
            <w:vAlign w:val="center"/>
          </w:tcPr>
          <w:p>
            <w:pPr>
              <w:spacing w:line="360" w:lineRule="auto"/>
              <w:jc w:val="center"/>
              <w:rPr>
                <w:rFonts w:hint="eastAsia" w:ascii="仿宋_GB2312" w:hAnsi="仿宋_GB2312" w:eastAsia="仿宋_GB2312" w:cs="仿宋_GB2312"/>
                <w:color w:val="auto"/>
                <w:sz w:val="32"/>
                <w:szCs w:val="32"/>
                <w:highlight w:val="none"/>
              </w:rPr>
            </w:pP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1754" w:type="dxa"/>
            <w:vMerge w:val="continue"/>
            <w:noWrap w:val="0"/>
            <w:vAlign w:val="top"/>
          </w:tcPr>
          <w:p>
            <w:pPr>
              <w:spacing w:line="360" w:lineRule="auto"/>
              <w:ind w:firstLine="640" w:firstLineChars="200"/>
              <w:rPr>
                <w:rFonts w:hint="eastAsia" w:ascii="仿宋_GB2312" w:hAnsi="仿宋_GB2312" w:eastAsia="仿宋_GB2312" w:cs="仿宋_GB2312"/>
                <w:color w:val="auto"/>
                <w:sz w:val="32"/>
                <w:szCs w:val="32"/>
                <w:highlight w:val="none"/>
              </w:rPr>
            </w:pP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2268" w:type="dxa"/>
            <w:noWrap w:val="0"/>
            <w:vAlign w:val="center"/>
          </w:tcPr>
          <w:p>
            <w:pPr>
              <w:spacing w:line="360" w:lineRule="auto"/>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1754" w:type="dxa"/>
            <w:vMerge w:val="continue"/>
            <w:noWrap w:val="0"/>
            <w:vAlign w:val="top"/>
          </w:tcPr>
          <w:p>
            <w:pPr>
              <w:spacing w:line="360" w:lineRule="auto"/>
              <w:ind w:firstLine="640" w:firstLineChars="200"/>
              <w:rPr>
                <w:rFonts w:hint="eastAsia" w:ascii="仿宋_GB2312" w:hAnsi="仿宋_GB2312" w:eastAsia="仿宋_GB2312" w:cs="仿宋_GB2312"/>
                <w:color w:val="auto"/>
                <w:sz w:val="32"/>
                <w:szCs w:val="32"/>
                <w:highlight w:val="none"/>
              </w:rPr>
            </w:pP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2268" w:type="dxa"/>
            <w:noWrap w:val="0"/>
            <w:vAlign w:val="center"/>
          </w:tcPr>
          <w:p>
            <w:pPr>
              <w:spacing w:line="360" w:lineRule="auto"/>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754" w:type="dxa"/>
            <w:vMerge w:val="continue"/>
            <w:noWrap w:val="0"/>
            <w:vAlign w:val="top"/>
          </w:tcPr>
          <w:p>
            <w:pPr>
              <w:spacing w:line="360" w:lineRule="auto"/>
              <w:ind w:firstLine="640" w:firstLineChars="200"/>
              <w:rPr>
                <w:rFonts w:hint="eastAsia" w:ascii="仿宋_GB2312" w:hAnsi="仿宋_GB2312" w:eastAsia="仿宋_GB2312" w:cs="仿宋_GB2312"/>
                <w:color w:val="auto"/>
                <w:sz w:val="32"/>
                <w:szCs w:val="32"/>
                <w:highlight w:val="none"/>
              </w:rPr>
            </w:pP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优秀奖</w:t>
            </w: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754" w:type="dxa"/>
            <w:vMerge w:val="restart"/>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省级</w:t>
            </w: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特等奖</w:t>
            </w:r>
          </w:p>
        </w:tc>
        <w:tc>
          <w:tcPr>
            <w:tcW w:w="2268" w:type="dxa"/>
            <w:noWrap w:val="0"/>
            <w:vAlign w:val="center"/>
          </w:tcPr>
          <w:p>
            <w:pPr>
              <w:spacing w:line="360" w:lineRule="auto"/>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1754" w:type="dxa"/>
            <w:vMerge w:val="continue"/>
            <w:noWrap w:val="0"/>
            <w:vAlign w:val="center"/>
          </w:tcPr>
          <w:p>
            <w:pPr>
              <w:spacing w:line="360" w:lineRule="auto"/>
              <w:ind w:firstLine="640" w:firstLineChars="200"/>
              <w:jc w:val="center"/>
              <w:rPr>
                <w:rFonts w:hint="eastAsia" w:ascii="仿宋_GB2312" w:hAnsi="仿宋_GB2312" w:eastAsia="仿宋_GB2312" w:cs="仿宋_GB2312"/>
                <w:color w:val="auto"/>
                <w:sz w:val="32"/>
                <w:szCs w:val="32"/>
                <w:highlight w:val="none"/>
              </w:rPr>
            </w:pP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2268" w:type="dxa"/>
            <w:noWrap w:val="0"/>
            <w:vAlign w:val="center"/>
          </w:tcPr>
          <w:p>
            <w:pPr>
              <w:spacing w:line="360" w:lineRule="auto"/>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754" w:type="dxa"/>
            <w:vMerge w:val="continue"/>
            <w:noWrap w:val="0"/>
            <w:vAlign w:val="center"/>
          </w:tcPr>
          <w:p>
            <w:pPr>
              <w:spacing w:line="360" w:lineRule="auto"/>
              <w:ind w:firstLine="640" w:firstLineChars="200"/>
              <w:jc w:val="center"/>
              <w:rPr>
                <w:rFonts w:hint="eastAsia" w:ascii="仿宋_GB2312" w:hAnsi="仿宋_GB2312" w:eastAsia="仿宋_GB2312" w:cs="仿宋_GB2312"/>
                <w:color w:val="auto"/>
                <w:sz w:val="32"/>
                <w:szCs w:val="32"/>
                <w:highlight w:val="none"/>
              </w:rPr>
            </w:pP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2268" w:type="dxa"/>
            <w:noWrap w:val="0"/>
            <w:vAlign w:val="center"/>
          </w:tcPr>
          <w:p>
            <w:pPr>
              <w:spacing w:line="360" w:lineRule="auto"/>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754" w:type="dxa"/>
            <w:vMerge w:val="continue"/>
            <w:noWrap w:val="0"/>
            <w:vAlign w:val="center"/>
          </w:tcPr>
          <w:p>
            <w:pPr>
              <w:spacing w:line="360" w:lineRule="auto"/>
              <w:ind w:firstLine="640" w:firstLineChars="200"/>
              <w:jc w:val="center"/>
              <w:rPr>
                <w:rFonts w:hint="eastAsia" w:ascii="仿宋_GB2312" w:hAnsi="仿宋_GB2312" w:eastAsia="仿宋_GB2312" w:cs="仿宋_GB2312"/>
                <w:color w:val="auto"/>
                <w:sz w:val="32"/>
                <w:szCs w:val="32"/>
                <w:highlight w:val="none"/>
              </w:rPr>
            </w:pP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754" w:type="dxa"/>
            <w:vMerge w:val="continue"/>
            <w:noWrap w:val="0"/>
            <w:vAlign w:val="center"/>
          </w:tcPr>
          <w:p>
            <w:pPr>
              <w:spacing w:line="360" w:lineRule="auto"/>
              <w:ind w:firstLine="640" w:firstLineChars="200"/>
              <w:jc w:val="center"/>
              <w:rPr>
                <w:rFonts w:hint="eastAsia" w:ascii="仿宋_GB2312" w:hAnsi="仿宋_GB2312" w:eastAsia="仿宋_GB2312" w:cs="仿宋_GB2312"/>
                <w:color w:val="auto"/>
                <w:sz w:val="32"/>
                <w:szCs w:val="32"/>
                <w:highlight w:val="none"/>
              </w:rPr>
            </w:pP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优秀奖</w:t>
            </w: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754" w:type="dxa"/>
            <w:vMerge w:val="restart"/>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校级</w:t>
            </w: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特等奖</w:t>
            </w:r>
          </w:p>
        </w:tc>
        <w:tc>
          <w:tcPr>
            <w:tcW w:w="2268" w:type="dxa"/>
            <w:noWrap w:val="0"/>
            <w:vAlign w:val="center"/>
          </w:tcPr>
          <w:p>
            <w:pPr>
              <w:spacing w:line="360" w:lineRule="auto"/>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754" w:type="dxa"/>
            <w:vMerge w:val="continue"/>
            <w:noWrap w:val="0"/>
            <w:vAlign w:val="center"/>
          </w:tcPr>
          <w:p>
            <w:pPr>
              <w:spacing w:line="360" w:lineRule="auto"/>
              <w:jc w:val="center"/>
              <w:rPr>
                <w:rFonts w:hint="eastAsia" w:ascii="仿宋_GB2312" w:hAnsi="仿宋_GB2312" w:eastAsia="仿宋_GB2312" w:cs="仿宋_GB2312"/>
                <w:color w:val="auto"/>
                <w:sz w:val="32"/>
                <w:szCs w:val="32"/>
                <w:highlight w:val="none"/>
              </w:rPr>
            </w:pP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754" w:type="dxa"/>
            <w:vMerge w:val="continue"/>
            <w:noWrap w:val="0"/>
            <w:vAlign w:val="center"/>
          </w:tcPr>
          <w:p>
            <w:pPr>
              <w:spacing w:line="360" w:lineRule="auto"/>
              <w:jc w:val="center"/>
              <w:rPr>
                <w:rFonts w:hint="eastAsia" w:ascii="仿宋_GB2312" w:hAnsi="仿宋_GB2312" w:eastAsia="仿宋_GB2312" w:cs="仿宋_GB2312"/>
                <w:color w:val="auto"/>
                <w:sz w:val="32"/>
                <w:szCs w:val="32"/>
                <w:highlight w:val="none"/>
              </w:rPr>
            </w:pP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754" w:type="dxa"/>
            <w:vMerge w:val="continue"/>
            <w:noWrap w:val="0"/>
            <w:vAlign w:val="center"/>
          </w:tcPr>
          <w:p>
            <w:pPr>
              <w:spacing w:line="360" w:lineRule="auto"/>
              <w:jc w:val="center"/>
              <w:rPr>
                <w:rFonts w:hint="eastAsia" w:ascii="仿宋_GB2312" w:hAnsi="仿宋_GB2312" w:eastAsia="仿宋_GB2312" w:cs="仿宋_GB2312"/>
                <w:color w:val="auto"/>
                <w:sz w:val="32"/>
                <w:szCs w:val="32"/>
                <w:highlight w:val="none"/>
              </w:rPr>
            </w:pP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754" w:type="dxa"/>
            <w:vMerge w:val="continue"/>
            <w:noWrap w:val="0"/>
            <w:vAlign w:val="center"/>
          </w:tcPr>
          <w:p>
            <w:pPr>
              <w:spacing w:line="360" w:lineRule="auto"/>
              <w:jc w:val="center"/>
              <w:rPr>
                <w:rFonts w:hint="eastAsia" w:ascii="仿宋_GB2312" w:hAnsi="仿宋_GB2312" w:eastAsia="仿宋_GB2312" w:cs="仿宋_GB2312"/>
                <w:color w:val="auto"/>
                <w:sz w:val="32"/>
                <w:szCs w:val="32"/>
                <w:highlight w:val="none"/>
              </w:rPr>
            </w:pP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优秀奖</w:t>
            </w: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754" w:type="dxa"/>
            <w:vMerge w:val="restart"/>
            <w:noWrap w:val="0"/>
            <w:vAlign w:val="center"/>
          </w:tcPr>
          <w:p>
            <w:pPr>
              <w:spacing w:line="360" w:lineRule="auto"/>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院级</w:t>
            </w: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特等奖</w:t>
            </w:r>
          </w:p>
        </w:tc>
        <w:tc>
          <w:tcPr>
            <w:tcW w:w="2268" w:type="dxa"/>
            <w:noWrap w:val="0"/>
            <w:vAlign w:val="center"/>
          </w:tcPr>
          <w:p>
            <w:pPr>
              <w:spacing w:line="360" w:lineRule="auto"/>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754" w:type="dxa"/>
            <w:vMerge w:val="continue"/>
            <w:noWrap w:val="0"/>
            <w:vAlign w:val="center"/>
          </w:tcPr>
          <w:p>
            <w:pPr>
              <w:spacing w:line="360" w:lineRule="auto"/>
              <w:jc w:val="center"/>
              <w:rPr>
                <w:rFonts w:hint="eastAsia" w:ascii="仿宋_GB2312" w:hAnsi="仿宋_GB2312" w:eastAsia="仿宋_GB2312" w:cs="仿宋_GB2312"/>
                <w:color w:val="auto"/>
                <w:sz w:val="32"/>
                <w:szCs w:val="32"/>
                <w:highlight w:val="none"/>
              </w:rPr>
            </w:pP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2268" w:type="dxa"/>
            <w:noWrap w:val="0"/>
            <w:vAlign w:val="center"/>
          </w:tcPr>
          <w:p>
            <w:pPr>
              <w:spacing w:line="360" w:lineRule="auto"/>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754" w:type="dxa"/>
            <w:vMerge w:val="continue"/>
            <w:noWrap w:val="0"/>
            <w:vAlign w:val="center"/>
          </w:tcPr>
          <w:p>
            <w:pPr>
              <w:spacing w:line="360" w:lineRule="auto"/>
              <w:jc w:val="center"/>
              <w:rPr>
                <w:rFonts w:hint="eastAsia" w:ascii="仿宋_GB2312" w:hAnsi="仿宋_GB2312" w:eastAsia="仿宋_GB2312" w:cs="仿宋_GB2312"/>
                <w:color w:val="auto"/>
                <w:sz w:val="32"/>
                <w:szCs w:val="32"/>
                <w:highlight w:val="none"/>
              </w:rPr>
            </w:pP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2268" w:type="dxa"/>
            <w:noWrap w:val="0"/>
            <w:vAlign w:val="center"/>
          </w:tcPr>
          <w:p>
            <w:pPr>
              <w:spacing w:line="360" w:lineRule="auto"/>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754" w:type="dxa"/>
            <w:vMerge w:val="continue"/>
            <w:noWrap w:val="0"/>
            <w:vAlign w:val="center"/>
          </w:tcPr>
          <w:p>
            <w:pPr>
              <w:spacing w:line="360" w:lineRule="auto"/>
              <w:jc w:val="center"/>
              <w:rPr>
                <w:rFonts w:hint="eastAsia" w:ascii="仿宋_GB2312" w:hAnsi="仿宋_GB2312" w:eastAsia="仿宋_GB2312" w:cs="仿宋_GB2312"/>
                <w:color w:val="auto"/>
                <w:sz w:val="32"/>
                <w:szCs w:val="32"/>
                <w:highlight w:val="none"/>
              </w:rPr>
            </w:pP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2268" w:type="dxa"/>
            <w:noWrap w:val="0"/>
            <w:vAlign w:val="center"/>
          </w:tcPr>
          <w:p>
            <w:pPr>
              <w:spacing w:line="360" w:lineRule="auto"/>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1754" w:type="dxa"/>
            <w:vMerge w:val="continue"/>
            <w:noWrap w:val="0"/>
            <w:vAlign w:val="center"/>
          </w:tcPr>
          <w:p>
            <w:pPr>
              <w:spacing w:line="360" w:lineRule="auto"/>
              <w:jc w:val="center"/>
              <w:rPr>
                <w:rFonts w:hint="eastAsia" w:ascii="仿宋_GB2312" w:hAnsi="仿宋_GB2312" w:eastAsia="仿宋_GB2312" w:cs="仿宋_GB2312"/>
                <w:color w:val="auto"/>
                <w:sz w:val="32"/>
                <w:szCs w:val="32"/>
                <w:highlight w:val="none"/>
              </w:rPr>
            </w:pPr>
          </w:p>
        </w:tc>
        <w:tc>
          <w:tcPr>
            <w:tcW w:w="2268" w:type="dxa"/>
            <w:noWrap w:val="0"/>
            <w:vAlign w:val="center"/>
          </w:tcPr>
          <w:p>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优秀奖</w:t>
            </w:r>
          </w:p>
        </w:tc>
        <w:tc>
          <w:tcPr>
            <w:tcW w:w="2268" w:type="dxa"/>
            <w:noWrap w:val="0"/>
            <w:vAlign w:val="center"/>
          </w:tcPr>
          <w:p>
            <w:pPr>
              <w:spacing w:line="360" w:lineRule="auto"/>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5</w:t>
            </w:r>
          </w:p>
        </w:tc>
      </w:tr>
    </w:tbl>
    <w:p>
      <w:pPr>
        <w:spacing w:before="100" w:after="100" w:line="600" w:lineRule="exact"/>
        <w:ind w:firstLine="640" w:firstLineChars="200"/>
        <w:jc w:val="left"/>
        <w:rPr>
          <w:rFonts w:hint="eastAsia" w:ascii="仿宋_GB2312" w:hAnsi="仿宋_GB2312" w:eastAsia="仿宋_GB2312" w:cs="仿宋_GB2312"/>
          <w:color w:val="auto"/>
          <w:sz w:val="32"/>
          <w:szCs w:val="32"/>
          <w:highlight w:val="none"/>
        </w:rPr>
      </w:pPr>
    </w:p>
    <w:p>
      <w:pPr>
        <w:spacing w:before="100" w:after="100"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其他说明：</w:t>
      </w:r>
    </w:p>
    <w:p>
      <w:pPr>
        <w:spacing w:before="100" w:after="100" w:line="60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Ⅰ.未确定获奖等级的奖项按照相应级别奖项的二等奖计算；参加同一比赛不同项目的，以最高分计，不重复计分。</w:t>
      </w:r>
    </w:p>
    <w:p>
      <w:pPr>
        <w:widowControl/>
        <w:spacing w:before="156" w:beforeLines="50" w:line="360" w:lineRule="auto"/>
        <w:ind w:firstLine="640" w:firstLineChars="200"/>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Ⅱ.个人系数：排名第一为</w:t>
      </w:r>
      <w:r>
        <w:rPr>
          <w:rFonts w:eastAsia="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rPr>
        <w:t>.</w:t>
      </w:r>
      <w:r>
        <w:rPr>
          <w:rFonts w:eastAsia="仿宋_GB2312"/>
          <w:color w:val="auto"/>
          <w:kern w:val="0"/>
          <w:sz w:val="32"/>
          <w:szCs w:val="32"/>
          <w:highlight w:val="none"/>
        </w:rPr>
        <w:t>0</w:t>
      </w:r>
      <w:r>
        <w:rPr>
          <w:rFonts w:hint="eastAsia" w:ascii="仿宋_GB2312" w:hAnsi="仿宋_GB2312" w:eastAsia="仿宋_GB2312" w:cs="仿宋_GB2312"/>
          <w:color w:val="auto"/>
          <w:kern w:val="0"/>
          <w:sz w:val="32"/>
          <w:szCs w:val="32"/>
          <w:highlight w:val="none"/>
        </w:rPr>
        <w:t>，主要参与（含教师省级及以下排名前三，国家级排名前五）为</w:t>
      </w:r>
      <w:r>
        <w:rPr>
          <w:rFonts w:eastAsia="仿宋_GB2312"/>
          <w:color w:val="auto"/>
          <w:kern w:val="0"/>
          <w:sz w:val="32"/>
          <w:szCs w:val="32"/>
          <w:highlight w:val="none"/>
        </w:rPr>
        <w:t>0</w:t>
      </w:r>
      <w:r>
        <w:rPr>
          <w:rFonts w:hint="eastAsia" w:ascii="仿宋_GB2312" w:hAnsi="仿宋_GB2312" w:eastAsia="仿宋_GB2312" w:cs="仿宋_GB2312"/>
          <w:color w:val="auto"/>
          <w:kern w:val="0"/>
          <w:sz w:val="32"/>
          <w:szCs w:val="32"/>
          <w:highlight w:val="none"/>
        </w:rPr>
        <w:t>.</w:t>
      </w:r>
      <w:r>
        <w:rPr>
          <w:rFonts w:eastAsia="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rPr>
        <w:t>，其余为</w:t>
      </w:r>
      <w:r>
        <w:rPr>
          <w:rFonts w:eastAsia="仿宋_GB2312"/>
          <w:color w:val="auto"/>
          <w:kern w:val="0"/>
          <w:sz w:val="32"/>
          <w:szCs w:val="32"/>
          <w:highlight w:val="none"/>
        </w:rPr>
        <w:t>0</w:t>
      </w:r>
      <w:r>
        <w:rPr>
          <w:rFonts w:hint="eastAsia" w:ascii="仿宋_GB2312" w:hAnsi="仿宋_GB2312" w:eastAsia="仿宋_GB2312" w:cs="仿宋_GB2312"/>
          <w:color w:val="auto"/>
          <w:kern w:val="0"/>
          <w:sz w:val="32"/>
          <w:szCs w:val="32"/>
          <w:highlight w:val="none"/>
        </w:rPr>
        <w:t>.</w:t>
      </w:r>
      <w:r>
        <w:rPr>
          <w:rFonts w:eastAsia="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rPr>
        <w:t>。</w:t>
      </w:r>
    </w:p>
    <w:p>
      <w:pPr>
        <w:spacing w:line="600" w:lineRule="exact"/>
        <w:ind w:firstLine="640" w:firstLineChars="200"/>
        <w:rPr>
          <w:rFonts w:hint="eastAsia" w:ascii="仿宋_GB2312" w:hAnsi="楷体_GB2312" w:eastAsia="仿宋_GB2312" w:cs="楷体_GB2312"/>
          <w:color w:val="auto"/>
          <w:sz w:val="32"/>
          <w:szCs w:val="32"/>
          <w:highlight w:val="none"/>
        </w:rPr>
      </w:pPr>
      <w:r>
        <w:rPr>
          <w:rFonts w:hint="eastAsia" w:ascii="仿宋_GB2312" w:hAnsi="楷体_GB2312" w:eastAsia="仿宋_GB2312" w:cs="楷体_GB2312"/>
          <w:color w:val="auto"/>
          <w:sz w:val="32"/>
          <w:szCs w:val="32"/>
          <w:highlight w:val="none"/>
        </w:rPr>
        <w:t>（五）社会实践</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社会实践得分包括体育活动、社会工作和其他得分三个方面，总分共</w:t>
      </w:r>
      <w:r>
        <w:rPr>
          <w:rFonts w:eastAsia="仿宋_GB2312"/>
          <w:color w:val="auto"/>
          <w:sz w:val="32"/>
          <w:szCs w:val="32"/>
          <w:highlight w:val="none"/>
        </w:rPr>
        <w:t>10</w:t>
      </w:r>
      <w:r>
        <w:rPr>
          <w:rFonts w:hint="eastAsia" w:ascii="仿宋_GB2312" w:hAnsi="仿宋_GB2312" w:eastAsia="仿宋_GB2312" w:cs="仿宋_GB2312"/>
          <w:color w:val="auto"/>
          <w:sz w:val="32"/>
          <w:szCs w:val="32"/>
          <w:highlight w:val="none"/>
        </w:rPr>
        <w:t>分，其中体育活动得分最高不超过</w:t>
      </w:r>
      <w:r>
        <w:rPr>
          <w:rFonts w:eastAsia="仿宋_GB2312"/>
          <w:color w:val="auto"/>
          <w:sz w:val="32"/>
          <w:szCs w:val="32"/>
          <w:highlight w:val="none"/>
        </w:rPr>
        <w:t>4</w:t>
      </w:r>
      <w:r>
        <w:rPr>
          <w:rFonts w:hint="eastAsia" w:ascii="仿宋_GB2312" w:hAnsi="仿宋_GB2312" w:eastAsia="仿宋_GB2312" w:cs="仿宋_GB2312"/>
          <w:color w:val="auto"/>
          <w:sz w:val="32"/>
          <w:szCs w:val="32"/>
          <w:highlight w:val="none"/>
        </w:rPr>
        <w:t>分，社会工作最高不超过</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分，其他得分最高不超过</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分。</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.体育活动得分（满分</w:t>
      </w:r>
      <w:r>
        <w:rPr>
          <w:rFonts w:eastAsia="仿宋_GB2312"/>
          <w:color w:val="auto"/>
          <w:sz w:val="32"/>
          <w:szCs w:val="32"/>
          <w:highlight w:val="none"/>
        </w:rPr>
        <w:t>4</w:t>
      </w:r>
      <w:r>
        <w:rPr>
          <w:rFonts w:hint="eastAsia" w:ascii="仿宋_GB2312" w:hAnsi="仿宋_GB2312" w:eastAsia="仿宋_GB2312" w:cs="仿宋_GB2312"/>
          <w:color w:val="auto"/>
          <w:sz w:val="32"/>
          <w:szCs w:val="32"/>
          <w:highlight w:val="none"/>
        </w:rPr>
        <w:t>分）</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）参加院运会</w:t>
      </w:r>
      <w:r>
        <w:rPr>
          <w:rFonts w:hint="eastAsia" w:ascii="仿宋_GB2312" w:hAnsi="仿宋_GB2312" w:eastAsia="仿宋_GB2312" w:cs="仿宋_GB2312"/>
          <w:color w:val="auto"/>
          <w:sz w:val="32"/>
          <w:szCs w:val="32"/>
          <w:highlight w:val="none"/>
          <w:lang w:val="en-US" w:eastAsia="zh-CN"/>
        </w:rPr>
        <w:t>或院研究生会举办或协办的体育活动</w:t>
      </w:r>
      <w:r>
        <w:rPr>
          <w:rFonts w:hint="eastAsia" w:ascii="仿宋_GB2312" w:hAnsi="仿宋_GB2312" w:eastAsia="仿宋_GB2312" w:cs="仿宋_GB2312"/>
          <w:color w:val="auto"/>
          <w:sz w:val="32"/>
          <w:szCs w:val="32"/>
          <w:highlight w:val="none"/>
        </w:rPr>
        <w:t>且完成比赛，可申请加分情况如表16所示：</w:t>
      </w:r>
    </w:p>
    <w:p>
      <w:pPr>
        <w:spacing w:line="600" w:lineRule="exact"/>
        <w:jc w:val="left"/>
        <w:rPr>
          <w:rFonts w:hint="eastAsia" w:ascii="仿宋_GB2312" w:hAnsi="仿宋_GB2312" w:eastAsia="仿宋_GB2312" w:cs="仿宋_GB2312"/>
          <w:color w:val="auto"/>
          <w:sz w:val="32"/>
          <w:szCs w:val="32"/>
          <w:highlight w:val="none"/>
        </w:rPr>
      </w:pPr>
    </w:p>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表16  加分标准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获奖类型</w:t>
            </w:r>
          </w:p>
        </w:tc>
        <w:tc>
          <w:tcPr>
            <w:tcW w:w="4927"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个人比赛项目中获</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名</w:t>
            </w:r>
          </w:p>
        </w:tc>
        <w:tc>
          <w:tcPr>
            <w:tcW w:w="4927"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个人比赛项目中获</w:t>
            </w:r>
            <w:r>
              <w:rPr>
                <w:rFonts w:eastAsia="仿宋_GB2312"/>
                <w:color w:val="auto"/>
                <w:sz w:val="32"/>
                <w:szCs w:val="32"/>
                <w:highlight w:val="none"/>
              </w:rPr>
              <w:t>4</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8</w:t>
            </w:r>
            <w:r>
              <w:rPr>
                <w:rFonts w:hint="eastAsia" w:ascii="仿宋_GB2312" w:hAnsi="仿宋_GB2312" w:eastAsia="仿宋_GB2312" w:cs="仿宋_GB2312"/>
                <w:color w:val="auto"/>
                <w:sz w:val="32"/>
                <w:szCs w:val="32"/>
                <w:highlight w:val="none"/>
              </w:rPr>
              <w:t>名</w:t>
            </w:r>
          </w:p>
        </w:tc>
        <w:tc>
          <w:tcPr>
            <w:tcW w:w="4927"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参加却未进入前八名</w:t>
            </w:r>
          </w:p>
        </w:tc>
        <w:tc>
          <w:tcPr>
            <w:tcW w:w="4927"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在团体比赛项目中获</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名</w:t>
            </w:r>
          </w:p>
        </w:tc>
        <w:tc>
          <w:tcPr>
            <w:tcW w:w="4927"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在团体比赛项目中获</w:t>
            </w:r>
            <w:r>
              <w:rPr>
                <w:rFonts w:eastAsia="仿宋_GB2312"/>
                <w:color w:val="auto"/>
                <w:sz w:val="32"/>
                <w:szCs w:val="32"/>
                <w:highlight w:val="none"/>
              </w:rPr>
              <w:t>4</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8</w:t>
            </w:r>
            <w:r>
              <w:rPr>
                <w:rFonts w:hint="eastAsia" w:ascii="仿宋_GB2312" w:hAnsi="仿宋_GB2312" w:eastAsia="仿宋_GB2312" w:cs="仿宋_GB2312"/>
                <w:color w:val="auto"/>
                <w:sz w:val="32"/>
                <w:szCs w:val="32"/>
                <w:highlight w:val="none"/>
              </w:rPr>
              <w:t>名</w:t>
            </w:r>
          </w:p>
        </w:tc>
        <w:tc>
          <w:tcPr>
            <w:tcW w:w="4927"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5</w:t>
            </w:r>
            <w:r>
              <w:rPr>
                <w:rFonts w:hint="eastAsia" w:ascii="仿宋_GB2312" w:hAnsi="仿宋_GB2312" w:eastAsia="仿宋_GB2312" w:cs="仿宋_GB2312"/>
                <w:color w:val="auto"/>
                <w:sz w:val="32"/>
                <w:szCs w:val="3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参加却未获得名次</w:t>
            </w:r>
          </w:p>
        </w:tc>
        <w:tc>
          <w:tcPr>
            <w:tcW w:w="4927"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/人</w:t>
            </w:r>
          </w:p>
        </w:tc>
      </w:tr>
    </w:tbl>
    <w:p>
      <w:pPr>
        <w:spacing w:line="600" w:lineRule="exact"/>
        <w:jc w:val="left"/>
        <w:rPr>
          <w:rFonts w:hint="eastAsia" w:ascii="仿宋_GB2312" w:hAnsi="仿宋_GB2312" w:eastAsia="仿宋_GB2312" w:cs="仿宋_GB2312"/>
          <w:color w:val="auto"/>
          <w:sz w:val="32"/>
          <w:szCs w:val="32"/>
          <w:highlight w:val="none"/>
        </w:rPr>
      </w:pPr>
    </w:p>
    <w:p>
      <w:pPr>
        <w:numPr>
          <w:ilvl w:val="0"/>
          <w:numId w:val="4"/>
        </w:num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代表学院参加全校性体育比赛，可申请加分情况如表17所示：</w:t>
      </w:r>
    </w:p>
    <w:p>
      <w:pPr>
        <w:spacing w:line="600" w:lineRule="exact"/>
        <w:jc w:val="left"/>
        <w:rPr>
          <w:rFonts w:hint="eastAsia" w:ascii="仿宋_GB2312" w:hAnsi="仿宋_GB2312" w:eastAsia="仿宋_GB2312" w:cs="仿宋_GB2312"/>
          <w:color w:val="auto"/>
          <w:sz w:val="32"/>
          <w:szCs w:val="32"/>
          <w:highlight w:val="none"/>
        </w:rPr>
      </w:pPr>
    </w:p>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表17  加分标准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获奖类型</w:t>
            </w:r>
          </w:p>
        </w:tc>
        <w:tc>
          <w:tcPr>
            <w:tcW w:w="4927"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个人比赛项目中获</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名</w:t>
            </w:r>
          </w:p>
        </w:tc>
        <w:tc>
          <w:tcPr>
            <w:tcW w:w="4927"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个人比赛项目中获</w:t>
            </w:r>
            <w:r>
              <w:rPr>
                <w:rFonts w:eastAsia="仿宋_GB2312"/>
                <w:color w:val="auto"/>
                <w:sz w:val="32"/>
                <w:szCs w:val="32"/>
                <w:highlight w:val="none"/>
              </w:rPr>
              <w:t>4</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8</w:t>
            </w:r>
            <w:r>
              <w:rPr>
                <w:rFonts w:hint="eastAsia" w:ascii="仿宋_GB2312" w:hAnsi="仿宋_GB2312" w:eastAsia="仿宋_GB2312" w:cs="仿宋_GB2312"/>
                <w:color w:val="auto"/>
                <w:sz w:val="32"/>
                <w:szCs w:val="32"/>
                <w:highlight w:val="none"/>
              </w:rPr>
              <w:t>名</w:t>
            </w:r>
          </w:p>
        </w:tc>
        <w:tc>
          <w:tcPr>
            <w:tcW w:w="4927"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参加却未进入前八名</w:t>
            </w:r>
          </w:p>
        </w:tc>
        <w:tc>
          <w:tcPr>
            <w:tcW w:w="4927"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在团体比赛项目中获</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名</w:t>
            </w:r>
          </w:p>
        </w:tc>
        <w:tc>
          <w:tcPr>
            <w:tcW w:w="4927"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2</w:t>
            </w:r>
            <w:r>
              <w:rPr>
                <w:rFonts w:hint="eastAsia" w:ascii="仿宋_GB2312" w:hAnsi="仿宋_GB2312" w:eastAsia="仿宋_GB2312" w:cs="仿宋_GB2312"/>
                <w:color w:val="auto"/>
                <w:sz w:val="32"/>
                <w:szCs w:val="3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在团体比赛项目中获</w:t>
            </w:r>
            <w:r>
              <w:rPr>
                <w:rFonts w:eastAsia="仿宋_GB2312"/>
                <w:color w:val="auto"/>
                <w:sz w:val="32"/>
                <w:szCs w:val="32"/>
                <w:highlight w:val="none"/>
              </w:rPr>
              <w:t>4</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8</w:t>
            </w:r>
            <w:r>
              <w:rPr>
                <w:rFonts w:hint="eastAsia" w:ascii="仿宋_GB2312" w:hAnsi="仿宋_GB2312" w:eastAsia="仿宋_GB2312" w:cs="仿宋_GB2312"/>
                <w:color w:val="auto"/>
                <w:sz w:val="32"/>
                <w:szCs w:val="32"/>
                <w:highlight w:val="none"/>
              </w:rPr>
              <w:t>名</w:t>
            </w:r>
          </w:p>
        </w:tc>
        <w:tc>
          <w:tcPr>
            <w:tcW w:w="4927"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参加却未获得名次</w:t>
            </w:r>
          </w:p>
        </w:tc>
        <w:tc>
          <w:tcPr>
            <w:tcW w:w="4927"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5</w:t>
            </w:r>
            <w:r>
              <w:rPr>
                <w:rFonts w:hint="eastAsia" w:ascii="仿宋_GB2312" w:hAnsi="仿宋_GB2312" w:eastAsia="仿宋_GB2312" w:cs="仿宋_GB2312"/>
                <w:color w:val="auto"/>
                <w:sz w:val="32"/>
                <w:szCs w:val="32"/>
                <w:highlight w:val="none"/>
              </w:rPr>
              <w:t>/人</w:t>
            </w:r>
          </w:p>
        </w:tc>
      </w:tr>
    </w:tbl>
    <w:p>
      <w:pPr>
        <w:spacing w:line="600" w:lineRule="exact"/>
        <w:ind w:firstLine="640" w:firstLineChars="200"/>
        <w:jc w:val="left"/>
        <w:rPr>
          <w:rFonts w:hint="eastAsia" w:ascii="仿宋_GB2312" w:hAnsi="仿宋_GB2312" w:eastAsia="仿宋_GB2312" w:cs="仿宋_GB2312"/>
          <w:color w:val="auto"/>
          <w:sz w:val="32"/>
          <w:szCs w:val="32"/>
          <w:highlight w:val="none"/>
        </w:rPr>
      </w:pPr>
    </w:p>
    <w:p>
      <w:pPr>
        <w:numPr>
          <w:ilvl w:val="0"/>
          <w:numId w:val="4"/>
        </w:num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代表学校参加地区、省（部）、国家级体育比赛，可申请加分情况如表18所示：</w:t>
      </w:r>
    </w:p>
    <w:p>
      <w:pPr>
        <w:spacing w:line="600" w:lineRule="exact"/>
        <w:ind w:left="420" w:leftChars="200"/>
        <w:jc w:val="left"/>
        <w:rPr>
          <w:rFonts w:hint="eastAsia" w:ascii="仿宋_GB2312" w:hAnsi="仿宋_GB2312" w:eastAsia="仿宋_GB2312" w:cs="仿宋_GB2312"/>
          <w:color w:val="auto"/>
          <w:sz w:val="32"/>
          <w:szCs w:val="32"/>
          <w:highlight w:val="none"/>
        </w:rPr>
      </w:pPr>
    </w:p>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表18  加分标准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4"/>
        <w:gridCol w:w="3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4"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获奖类型</w:t>
            </w:r>
          </w:p>
        </w:tc>
        <w:tc>
          <w:tcPr>
            <w:tcW w:w="3910"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44" w:type="dxa"/>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个人或集体比赛项目中获</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名</w:t>
            </w:r>
          </w:p>
        </w:tc>
        <w:tc>
          <w:tcPr>
            <w:tcW w:w="3910"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4" w:type="dxa"/>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个人或集体比赛项目中获</w:t>
            </w:r>
            <w:r>
              <w:rPr>
                <w:rFonts w:eastAsia="仿宋_GB2312"/>
                <w:color w:val="auto"/>
                <w:sz w:val="32"/>
                <w:szCs w:val="32"/>
                <w:highlight w:val="none"/>
              </w:rPr>
              <w:t>4</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8</w:t>
            </w:r>
            <w:r>
              <w:rPr>
                <w:rFonts w:hint="eastAsia" w:ascii="仿宋_GB2312" w:hAnsi="仿宋_GB2312" w:eastAsia="仿宋_GB2312" w:cs="仿宋_GB2312"/>
                <w:color w:val="auto"/>
                <w:sz w:val="32"/>
                <w:szCs w:val="32"/>
                <w:highlight w:val="none"/>
              </w:rPr>
              <w:t>名</w:t>
            </w:r>
          </w:p>
        </w:tc>
        <w:tc>
          <w:tcPr>
            <w:tcW w:w="3910"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4" w:type="dxa"/>
            <w:noWrap w:val="0"/>
            <w:vAlign w:val="top"/>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个人或集体参加比赛却未进入前</w:t>
            </w:r>
            <w:r>
              <w:rPr>
                <w:rFonts w:eastAsia="仿宋_GB2312"/>
                <w:color w:val="auto"/>
                <w:sz w:val="32"/>
                <w:szCs w:val="32"/>
                <w:highlight w:val="none"/>
              </w:rPr>
              <w:t>8</w:t>
            </w:r>
            <w:r>
              <w:rPr>
                <w:rFonts w:hint="eastAsia" w:ascii="仿宋_GB2312" w:hAnsi="仿宋_GB2312" w:eastAsia="仿宋_GB2312" w:cs="仿宋_GB2312"/>
                <w:color w:val="auto"/>
                <w:sz w:val="32"/>
                <w:szCs w:val="32"/>
                <w:highlight w:val="none"/>
              </w:rPr>
              <w:t>名</w:t>
            </w:r>
          </w:p>
        </w:tc>
        <w:tc>
          <w:tcPr>
            <w:tcW w:w="3910" w:type="dxa"/>
            <w:noWrap w:val="0"/>
            <w:vAlign w:val="top"/>
          </w:tcPr>
          <w:p>
            <w:pPr>
              <w:spacing w:line="600" w:lineRule="exact"/>
              <w:jc w:val="center"/>
              <w:rPr>
                <w:rFonts w:ascii="仿宋_GB2312" w:hAnsi="仿宋_GB2312" w:eastAsia="仿宋_GB2312" w:cs="仿宋_GB2312"/>
                <w:color w:val="auto"/>
                <w:sz w:val="32"/>
                <w:szCs w:val="32"/>
                <w:highlight w:val="none"/>
              </w:rPr>
            </w:pPr>
            <w:r>
              <w:rPr>
                <w:rFonts w:eastAsia="仿宋_GB2312"/>
                <w:color w:val="auto"/>
                <w:sz w:val="32"/>
                <w:szCs w:val="32"/>
                <w:highlight w:val="none"/>
              </w:rPr>
              <w:t>2</w:t>
            </w:r>
          </w:p>
        </w:tc>
      </w:tr>
    </w:tbl>
    <w:p>
      <w:pPr>
        <w:spacing w:line="600" w:lineRule="exact"/>
        <w:ind w:firstLine="640" w:firstLineChars="200"/>
        <w:jc w:val="left"/>
        <w:rPr>
          <w:rFonts w:hint="eastAsia" w:ascii="仿宋_GB2312" w:hAnsi="仿宋_GB2312" w:eastAsia="仿宋_GB2312" w:cs="仿宋_GB2312"/>
          <w:color w:val="auto"/>
          <w:sz w:val="32"/>
          <w:szCs w:val="32"/>
          <w:highlight w:val="none"/>
        </w:rPr>
      </w:pP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其他说明：</w:t>
      </w:r>
    </w:p>
    <w:p>
      <w:pPr>
        <w:spacing w:line="6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Ⅰ.评定学年度在一次比赛中参与多个项目的，个人项目参与分最多累计</w:t>
      </w:r>
      <w:r>
        <w:rPr>
          <w:rFonts w:eastAsia="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rPr>
        <w:t>次，团体项目参与分最多加</w:t>
      </w:r>
      <w:r>
        <w:rPr>
          <w:rFonts w:eastAsia="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rPr>
        <w:t>次。</w:t>
      </w:r>
      <w:r>
        <w:rPr>
          <w:rFonts w:hint="eastAsia" w:ascii="仿宋_GB2312" w:hAnsi="仿宋_GB2312" w:eastAsia="仿宋_GB2312" w:cs="仿宋_GB2312"/>
          <w:color w:val="auto"/>
          <w:kern w:val="0"/>
          <w:sz w:val="32"/>
          <w:szCs w:val="32"/>
          <w:highlight w:val="none"/>
          <w:lang w:val="en-US" w:eastAsia="zh-CN"/>
        </w:rPr>
        <w:t>一个项目仅可加一次分且按所获得的最高等级加分，</w:t>
      </w:r>
      <w:r>
        <w:rPr>
          <w:rFonts w:hint="eastAsia" w:ascii="仿宋_GB2312" w:hAnsi="仿宋_GB2312" w:eastAsia="仿宋_GB2312" w:cs="仿宋_GB2312"/>
          <w:color w:val="auto"/>
          <w:kern w:val="0"/>
          <w:sz w:val="32"/>
          <w:szCs w:val="32"/>
          <w:highlight w:val="none"/>
        </w:rPr>
        <w:t>获奖得分可叠加，累计总分不超过</w:t>
      </w:r>
      <w:r>
        <w:rPr>
          <w:rFonts w:eastAsia="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rPr>
        <w:t>分。</w:t>
      </w:r>
    </w:p>
    <w:p>
      <w:pPr>
        <w:spacing w:line="60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Ⅱ.领队、教练与队员同级，属团队成员，享有团队所获荣誉。</w:t>
      </w:r>
    </w:p>
    <w:p>
      <w:pPr>
        <w:spacing w:line="60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Ⅲ.其他有特殊说明按体育获得分加分的，可加体育分。</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eastAsia="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rPr>
        <w:t>社会工作得分（满分</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分）</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担任校院两级学生组织学生干部，期间尽职尽责，能够较好地完成本职工作，经学院考核，可以申请加分。标准如下：</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）兼职辅导员、学校及学院正式团体的正职主要研究生干部，研究生会主席团成员、团委副书记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团委秘书长</w:t>
      </w:r>
      <w:r>
        <w:rPr>
          <w:rFonts w:hint="eastAsia" w:ascii="仿宋_GB2312" w:hAnsi="仿宋_GB2312" w:eastAsia="仿宋_GB2312" w:cs="仿宋_GB2312"/>
          <w:color w:val="auto"/>
          <w:sz w:val="32"/>
          <w:szCs w:val="32"/>
          <w:highlight w:val="none"/>
        </w:rPr>
        <w:t>可申请加</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分；各部门主要负责人可申请加</w:t>
      </w:r>
      <w:r>
        <w:rPr>
          <w:rFonts w:eastAsia="仿宋_GB2312"/>
          <w:color w:val="auto"/>
          <w:sz w:val="32"/>
          <w:szCs w:val="32"/>
          <w:highlight w:val="none"/>
        </w:rPr>
        <w:t>2</w:t>
      </w:r>
      <w:r>
        <w:rPr>
          <w:rFonts w:hint="eastAsia" w:ascii="仿宋_GB2312" w:hAnsi="仿宋_GB2312" w:eastAsia="仿宋_GB2312" w:cs="仿宋_GB2312"/>
          <w:color w:val="auto"/>
          <w:sz w:val="32"/>
          <w:szCs w:val="32"/>
          <w:highlight w:val="none"/>
        </w:rPr>
        <w:t>分；</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2</w:t>
      </w:r>
      <w:r>
        <w:rPr>
          <w:rFonts w:hint="eastAsia" w:ascii="仿宋_GB2312" w:hAnsi="仿宋_GB2312" w:eastAsia="仿宋_GB2312" w:cs="仿宋_GB2312"/>
          <w:color w:val="auto"/>
          <w:sz w:val="32"/>
          <w:szCs w:val="32"/>
          <w:highlight w:val="none"/>
        </w:rPr>
        <w:t>）学院</w:t>
      </w:r>
      <w:r>
        <w:rPr>
          <w:rFonts w:hint="eastAsia" w:ascii="仿宋_GB2312" w:hAnsi="仿宋_GB2312" w:eastAsia="仿宋_GB2312" w:cs="仿宋_GB2312"/>
          <w:color w:val="auto"/>
          <w:sz w:val="32"/>
          <w:szCs w:val="32"/>
          <w:highlight w:val="none"/>
          <w:lang w:val="en-US" w:eastAsia="zh-CN"/>
        </w:rPr>
        <w:t>研究生党建助理兼任学生党支部书记可申请加3分；</w:t>
      </w:r>
      <w:r>
        <w:rPr>
          <w:rFonts w:hint="eastAsia" w:ascii="仿宋_GB2312" w:hAnsi="仿宋_GB2312" w:eastAsia="仿宋_GB2312" w:cs="仿宋_GB2312"/>
          <w:color w:val="auto"/>
          <w:sz w:val="32"/>
          <w:szCs w:val="32"/>
          <w:highlight w:val="none"/>
        </w:rPr>
        <w:t>各学生党支部书记可申请加</w:t>
      </w:r>
      <w:r>
        <w:rPr>
          <w:rFonts w:eastAsia="仿宋_GB2312"/>
          <w:color w:val="auto"/>
          <w:sz w:val="32"/>
          <w:szCs w:val="32"/>
          <w:highlight w:val="none"/>
        </w:rPr>
        <w:t>2</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副书记、其他支委加</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分（支部书记为教师的，副书记可申请加</w:t>
      </w:r>
      <w:r>
        <w:rPr>
          <w:rFonts w:eastAsia="仿宋_GB2312"/>
          <w:color w:val="auto"/>
          <w:sz w:val="32"/>
          <w:szCs w:val="32"/>
          <w:highlight w:val="none"/>
        </w:rPr>
        <w:t>2</w:t>
      </w:r>
      <w:r>
        <w:rPr>
          <w:rFonts w:hint="eastAsia" w:ascii="仿宋_GB2312" w:hAnsi="仿宋_GB2312" w:eastAsia="仿宋_GB2312" w:cs="仿宋_GB2312"/>
          <w:color w:val="auto"/>
          <w:sz w:val="32"/>
          <w:szCs w:val="32"/>
          <w:highlight w:val="none"/>
        </w:rPr>
        <w:t>分）；</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年级级长兼任班级班长可申请加3分；各</w:t>
      </w:r>
      <w:r>
        <w:rPr>
          <w:rFonts w:hint="eastAsia" w:ascii="仿宋_GB2312" w:hAnsi="仿宋_GB2312" w:eastAsia="仿宋_GB2312" w:cs="仿宋_GB2312"/>
          <w:color w:val="auto"/>
          <w:sz w:val="32"/>
          <w:szCs w:val="32"/>
          <w:highlight w:val="none"/>
        </w:rPr>
        <w:t>班级班长、团支书可申请加</w:t>
      </w:r>
      <w:r>
        <w:rPr>
          <w:rFonts w:eastAsia="仿宋_GB2312"/>
          <w:color w:val="auto"/>
          <w:sz w:val="32"/>
          <w:szCs w:val="32"/>
          <w:highlight w:val="none"/>
        </w:rPr>
        <w:t>2</w:t>
      </w:r>
      <w:r>
        <w:rPr>
          <w:rFonts w:hint="eastAsia" w:ascii="仿宋_GB2312" w:hAnsi="仿宋_GB2312" w:eastAsia="仿宋_GB2312" w:cs="仿宋_GB2312"/>
          <w:color w:val="auto"/>
          <w:sz w:val="32"/>
          <w:szCs w:val="32"/>
          <w:highlight w:val="none"/>
        </w:rPr>
        <w:t>分，其他班委加</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分；</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4</w:t>
      </w:r>
      <w:r>
        <w:rPr>
          <w:rFonts w:hint="eastAsia" w:ascii="仿宋_GB2312" w:hAnsi="仿宋_GB2312" w:eastAsia="仿宋_GB2312" w:cs="仿宋_GB2312"/>
          <w:color w:val="auto"/>
          <w:sz w:val="32"/>
          <w:szCs w:val="32"/>
          <w:highlight w:val="none"/>
        </w:rPr>
        <w:t>）学校及学院正式团体的委员或工作人员，学校认可且业绩突出的其他研究生社团正职负责人，可加</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分；</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5</w:t>
      </w:r>
      <w:r>
        <w:rPr>
          <w:rFonts w:hint="eastAsia" w:ascii="仿宋_GB2312" w:hAnsi="仿宋_GB2312" w:eastAsia="仿宋_GB2312" w:cs="仿宋_GB2312"/>
          <w:color w:val="auto"/>
          <w:sz w:val="32"/>
          <w:szCs w:val="32"/>
          <w:highlight w:val="none"/>
        </w:rPr>
        <w:t>）没有担任上述职务，但积极参与研究生工作，为校、院、系、班集体做出较大贡献，以及参加其它研究生社团或组织且表现突出者，均可酌情加分，原则上加分不超过</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分，具体情况需由学校各级单位或学院出具证明材料。</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以上各项社会工作中，兼任数项工作者，按最高得分项加分，不重复计分。</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eastAsia="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rPr>
        <w:t>.其</w:t>
      </w:r>
      <w:r>
        <w:rPr>
          <w:rFonts w:hint="eastAsia" w:ascii="仿宋_GB2312" w:hAnsi="仿宋_GB2312" w:eastAsia="仿宋_GB2312" w:cs="仿宋_GB2312"/>
          <w:color w:val="auto"/>
          <w:sz w:val="32"/>
          <w:szCs w:val="32"/>
          <w:highlight w:val="none"/>
        </w:rPr>
        <w:t>他得分（满分：</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分）</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）在评定年度中通过英语六级考试（分数达到</w:t>
      </w:r>
      <w:r>
        <w:rPr>
          <w:rFonts w:eastAsia="仿宋_GB2312"/>
          <w:color w:val="auto"/>
          <w:sz w:val="32"/>
          <w:szCs w:val="32"/>
          <w:highlight w:val="none"/>
        </w:rPr>
        <w:t>425</w:t>
      </w:r>
      <w:r>
        <w:rPr>
          <w:rFonts w:hint="eastAsia" w:ascii="仿宋_GB2312" w:hAnsi="仿宋_GB2312" w:eastAsia="仿宋_GB2312" w:cs="仿宋_GB2312"/>
          <w:color w:val="auto"/>
          <w:sz w:val="32"/>
          <w:szCs w:val="32"/>
          <w:highlight w:val="none"/>
        </w:rPr>
        <w:t>分以上），可申请加</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分；</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2</w:t>
      </w:r>
      <w:r>
        <w:rPr>
          <w:rFonts w:hint="eastAsia" w:ascii="仿宋_GB2312" w:hAnsi="仿宋_GB2312" w:eastAsia="仿宋_GB2312" w:cs="仿宋_GB2312"/>
          <w:color w:val="auto"/>
          <w:sz w:val="32"/>
          <w:szCs w:val="32"/>
          <w:highlight w:val="none"/>
        </w:rPr>
        <w:t>）参加学校举办的文艺比赛活动获奖，一等奖</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5</w:t>
      </w:r>
      <w:r>
        <w:rPr>
          <w:rFonts w:hint="eastAsia" w:ascii="仿宋_GB2312" w:hAnsi="仿宋_GB2312" w:eastAsia="仿宋_GB2312" w:cs="仿宋_GB2312"/>
          <w:color w:val="auto"/>
          <w:sz w:val="32"/>
          <w:szCs w:val="32"/>
          <w:highlight w:val="none"/>
        </w:rPr>
        <w:t>分/人，二等奖</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分/人，三等奖</w:t>
      </w: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5</w:t>
      </w:r>
      <w:r>
        <w:rPr>
          <w:rFonts w:hint="eastAsia" w:ascii="仿宋_GB2312" w:hAnsi="仿宋_GB2312" w:eastAsia="仿宋_GB2312" w:cs="仿宋_GB2312"/>
          <w:color w:val="auto"/>
          <w:sz w:val="32"/>
          <w:szCs w:val="32"/>
          <w:highlight w:val="none"/>
        </w:rPr>
        <w:t>分/人；</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）参加学校举办的文艺晚会演出活动，加</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分/次（场）；</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4</w:t>
      </w:r>
      <w:r>
        <w:rPr>
          <w:rFonts w:hint="eastAsia" w:ascii="仿宋_GB2312" w:hAnsi="仿宋_GB2312" w:eastAsia="仿宋_GB2312" w:cs="仿宋_GB2312"/>
          <w:color w:val="auto"/>
          <w:sz w:val="32"/>
          <w:szCs w:val="32"/>
          <w:highlight w:val="none"/>
        </w:rPr>
        <w:t>）参加学院举办的文艺晚会演出，加</w:t>
      </w: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5</w:t>
      </w:r>
      <w:r>
        <w:rPr>
          <w:rFonts w:hint="eastAsia" w:ascii="仿宋_GB2312" w:hAnsi="仿宋_GB2312" w:eastAsia="仿宋_GB2312" w:cs="仿宋_GB2312"/>
          <w:color w:val="auto"/>
          <w:sz w:val="32"/>
          <w:szCs w:val="32"/>
          <w:highlight w:val="none"/>
        </w:rPr>
        <w:t>分/次（场）；</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仅限</w:t>
      </w:r>
      <w:r>
        <w:rPr>
          <w:rFonts w:hint="eastAsia" w:ascii="仿宋_GB2312" w:hAnsi="仿宋_GB2312" w:eastAsia="仿宋_GB2312" w:cs="仿宋_GB2312"/>
          <w:color w:val="auto"/>
          <w:sz w:val="32"/>
          <w:szCs w:val="32"/>
          <w:highlight w:val="none"/>
        </w:rPr>
        <w:t>参加学校及学院研究生</w:t>
      </w:r>
      <w:r>
        <w:rPr>
          <w:rFonts w:hint="eastAsia" w:ascii="仿宋_GB2312" w:hAnsi="仿宋_GB2312" w:eastAsia="仿宋_GB2312" w:cs="仿宋_GB2312"/>
          <w:color w:val="auto"/>
          <w:sz w:val="32"/>
          <w:szCs w:val="32"/>
          <w:highlight w:val="none"/>
          <w:lang w:val="en-US" w:eastAsia="zh-CN"/>
        </w:rPr>
        <w:t>团委、研究生会</w:t>
      </w:r>
      <w:r>
        <w:rPr>
          <w:rFonts w:hint="eastAsia" w:ascii="仿宋_GB2312" w:hAnsi="仿宋_GB2312" w:eastAsia="仿宋_GB2312" w:cs="仿宋_GB2312"/>
          <w:color w:val="auto"/>
          <w:sz w:val="32"/>
          <w:szCs w:val="32"/>
          <w:highlight w:val="none"/>
        </w:rPr>
        <w:t>组织举办的活动，无特殊说明，加</w:t>
      </w: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分/次（场），累计不超过</w:t>
      </w:r>
      <w:r>
        <w:rPr>
          <w:rFonts w:eastAsia="仿宋_GB2312"/>
          <w:color w:val="auto"/>
          <w:sz w:val="32"/>
          <w:szCs w:val="32"/>
          <w:highlight w:val="none"/>
        </w:rPr>
        <w:t>3</w:t>
      </w:r>
      <w:r>
        <w:rPr>
          <w:rFonts w:hint="eastAsia" w:ascii="仿宋_GB2312" w:hAnsi="仿宋_GB2312" w:eastAsia="仿宋_GB2312" w:cs="仿宋_GB2312"/>
          <w:color w:val="auto"/>
          <w:sz w:val="32"/>
          <w:szCs w:val="32"/>
          <w:highlight w:val="none"/>
        </w:rPr>
        <w:t>分。</w:t>
      </w:r>
    </w:p>
    <w:p>
      <w:pPr>
        <w:spacing w:line="600" w:lineRule="exact"/>
        <w:ind w:firstLine="640" w:firstLineChars="200"/>
        <w:jc w:val="left"/>
        <w:rPr>
          <w:rFonts w:hint="eastAsia" w:ascii="仿宋_GB2312" w:hAnsi="楷体_GB2312" w:eastAsia="仿宋_GB2312" w:cs="楷体_GB2312"/>
          <w:color w:val="auto"/>
          <w:sz w:val="32"/>
          <w:szCs w:val="32"/>
          <w:highlight w:val="none"/>
        </w:rPr>
      </w:pPr>
      <w:r>
        <w:rPr>
          <w:rFonts w:hint="eastAsia" w:ascii="仿宋_GB2312" w:hAnsi="楷体_GB2312" w:eastAsia="仿宋_GB2312" w:cs="楷体_GB2312"/>
          <w:color w:val="auto"/>
          <w:sz w:val="32"/>
          <w:szCs w:val="32"/>
          <w:highlight w:val="none"/>
        </w:rPr>
        <w:t>（六）其它荣誉加分</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主要指在上一阶段学历学习期间获得各类奖学金、优秀学生骨干（含团干和学干）、优秀学位论文荣誉、优秀共产党员、优秀共青团员、三好学生（硕士新生），除此之外的荣誉均不加分。具体分值如表19所示：</w:t>
      </w:r>
    </w:p>
    <w:p>
      <w:pPr>
        <w:spacing w:line="600" w:lineRule="exact"/>
        <w:ind w:firstLine="640" w:firstLineChars="200"/>
        <w:jc w:val="left"/>
        <w:rPr>
          <w:rFonts w:hint="eastAsia" w:ascii="仿宋_GB2312" w:hAnsi="仿宋_GB2312" w:eastAsia="仿宋_GB2312" w:cs="仿宋_GB2312"/>
          <w:color w:val="auto"/>
          <w:sz w:val="32"/>
          <w:szCs w:val="32"/>
          <w:highlight w:val="none"/>
        </w:rPr>
      </w:pPr>
    </w:p>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表19  加分标准</w:t>
      </w:r>
    </w:p>
    <w:tbl>
      <w:tblPr>
        <w:tblStyle w:val="4"/>
        <w:tblW w:w="4525" w:type="pct"/>
        <w:jc w:val="center"/>
        <w:tblLayout w:type="autofit"/>
        <w:tblCellMar>
          <w:top w:w="0" w:type="dxa"/>
          <w:left w:w="10" w:type="dxa"/>
          <w:bottom w:w="0" w:type="dxa"/>
          <w:right w:w="10" w:type="dxa"/>
        </w:tblCellMar>
      </w:tblPr>
      <w:tblGrid>
        <w:gridCol w:w="1588"/>
        <w:gridCol w:w="3745"/>
        <w:gridCol w:w="3585"/>
      </w:tblGrid>
      <w:tr>
        <w:tblPrEx>
          <w:tblCellMar>
            <w:top w:w="0" w:type="dxa"/>
            <w:left w:w="10" w:type="dxa"/>
            <w:bottom w:w="0" w:type="dxa"/>
            <w:right w:w="10" w:type="dxa"/>
          </w:tblCellMar>
        </w:tblPrEx>
        <w:trPr>
          <w:jc w:val="center"/>
        </w:trPr>
        <w:tc>
          <w:tcPr>
            <w:tcW w:w="890"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获奖级别</w:t>
            </w:r>
          </w:p>
        </w:tc>
        <w:tc>
          <w:tcPr>
            <w:tcW w:w="2099" w:type="pct"/>
            <w:tcBorders>
              <w:top w:val="single" w:color="000000" w:sz="4"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获奖等级</w:t>
            </w:r>
          </w:p>
        </w:tc>
        <w:tc>
          <w:tcPr>
            <w:tcW w:w="2009" w:type="pct"/>
            <w:tcBorders>
              <w:top w:val="single" w:color="000000" w:sz="4"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得分</w:t>
            </w:r>
          </w:p>
        </w:tc>
      </w:tr>
      <w:tr>
        <w:tblPrEx>
          <w:tblCellMar>
            <w:top w:w="0" w:type="dxa"/>
            <w:left w:w="10" w:type="dxa"/>
            <w:bottom w:w="0" w:type="dxa"/>
            <w:right w:w="10" w:type="dxa"/>
          </w:tblCellMar>
        </w:tblPrEx>
        <w:trPr>
          <w:jc w:val="center"/>
        </w:trPr>
        <w:tc>
          <w:tcPr>
            <w:tcW w:w="890" w:type="pct"/>
            <w:vMerge w:val="restart"/>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国家级</w:t>
            </w:r>
          </w:p>
        </w:tc>
        <w:tc>
          <w:tcPr>
            <w:tcW w:w="209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200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15</w:t>
            </w:r>
          </w:p>
        </w:tc>
      </w:tr>
      <w:tr>
        <w:tblPrEx>
          <w:tblCellMar>
            <w:top w:w="0" w:type="dxa"/>
            <w:left w:w="10" w:type="dxa"/>
            <w:bottom w:w="0" w:type="dxa"/>
            <w:right w:w="10" w:type="dxa"/>
          </w:tblCellMar>
        </w:tblPrEx>
        <w:trPr>
          <w:jc w:val="center"/>
        </w:trPr>
        <w:tc>
          <w:tcPr>
            <w:tcW w:w="890"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9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200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10</w:t>
            </w:r>
          </w:p>
        </w:tc>
      </w:tr>
      <w:tr>
        <w:tblPrEx>
          <w:tblCellMar>
            <w:top w:w="0" w:type="dxa"/>
            <w:left w:w="10" w:type="dxa"/>
            <w:bottom w:w="0" w:type="dxa"/>
            <w:right w:w="10" w:type="dxa"/>
          </w:tblCellMar>
        </w:tblPrEx>
        <w:trPr>
          <w:jc w:val="center"/>
        </w:trPr>
        <w:tc>
          <w:tcPr>
            <w:tcW w:w="890"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9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200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8</w:t>
            </w:r>
          </w:p>
        </w:tc>
      </w:tr>
      <w:tr>
        <w:tblPrEx>
          <w:tblCellMar>
            <w:top w:w="0" w:type="dxa"/>
            <w:left w:w="10" w:type="dxa"/>
            <w:bottom w:w="0" w:type="dxa"/>
            <w:right w:w="10" w:type="dxa"/>
          </w:tblCellMar>
        </w:tblPrEx>
        <w:trPr>
          <w:jc w:val="center"/>
        </w:trPr>
        <w:tc>
          <w:tcPr>
            <w:tcW w:w="890"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9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优秀奖</w:t>
            </w:r>
          </w:p>
        </w:tc>
        <w:tc>
          <w:tcPr>
            <w:tcW w:w="200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6</w:t>
            </w:r>
          </w:p>
        </w:tc>
      </w:tr>
      <w:tr>
        <w:tblPrEx>
          <w:tblCellMar>
            <w:top w:w="0" w:type="dxa"/>
            <w:left w:w="10" w:type="dxa"/>
            <w:bottom w:w="0" w:type="dxa"/>
            <w:right w:w="10" w:type="dxa"/>
          </w:tblCellMar>
        </w:tblPrEx>
        <w:trPr>
          <w:jc w:val="center"/>
        </w:trPr>
        <w:tc>
          <w:tcPr>
            <w:tcW w:w="890" w:type="pct"/>
            <w:vMerge w:val="restart"/>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省（市）级</w:t>
            </w:r>
          </w:p>
        </w:tc>
        <w:tc>
          <w:tcPr>
            <w:tcW w:w="209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200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10</w:t>
            </w:r>
          </w:p>
        </w:tc>
      </w:tr>
      <w:tr>
        <w:tblPrEx>
          <w:tblCellMar>
            <w:top w:w="0" w:type="dxa"/>
            <w:left w:w="10" w:type="dxa"/>
            <w:bottom w:w="0" w:type="dxa"/>
            <w:right w:w="10" w:type="dxa"/>
          </w:tblCellMar>
        </w:tblPrEx>
        <w:trPr>
          <w:jc w:val="center"/>
        </w:trPr>
        <w:tc>
          <w:tcPr>
            <w:tcW w:w="890"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9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200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8</w:t>
            </w:r>
          </w:p>
        </w:tc>
      </w:tr>
      <w:tr>
        <w:tblPrEx>
          <w:tblCellMar>
            <w:top w:w="0" w:type="dxa"/>
            <w:left w:w="10" w:type="dxa"/>
            <w:bottom w:w="0" w:type="dxa"/>
            <w:right w:w="10" w:type="dxa"/>
          </w:tblCellMar>
        </w:tblPrEx>
        <w:trPr>
          <w:jc w:val="center"/>
        </w:trPr>
        <w:tc>
          <w:tcPr>
            <w:tcW w:w="890"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9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200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6</w:t>
            </w:r>
          </w:p>
        </w:tc>
      </w:tr>
      <w:tr>
        <w:tblPrEx>
          <w:tblCellMar>
            <w:top w:w="0" w:type="dxa"/>
            <w:left w:w="10" w:type="dxa"/>
            <w:bottom w:w="0" w:type="dxa"/>
            <w:right w:w="10" w:type="dxa"/>
          </w:tblCellMar>
        </w:tblPrEx>
        <w:trPr>
          <w:jc w:val="center"/>
        </w:trPr>
        <w:tc>
          <w:tcPr>
            <w:tcW w:w="890"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9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优秀奖</w:t>
            </w:r>
          </w:p>
        </w:tc>
        <w:tc>
          <w:tcPr>
            <w:tcW w:w="200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3</w:t>
            </w:r>
          </w:p>
        </w:tc>
      </w:tr>
      <w:tr>
        <w:tblPrEx>
          <w:tblCellMar>
            <w:top w:w="0" w:type="dxa"/>
            <w:left w:w="10" w:type="dxa"/>
            <w:bottom w:w="0" w:type="dxa"/>
            <w:right w:w="10" w:type="dxa"/>
          </w:tblCellMar>
        </w:tblPrEx>
        <w:trPr>
          <w:jc w:val="center"/>
        </w:trPr>
        <w:tc>
          <w:tcPr>
            <w:tcW w:w="890" w:type="pct"/>
            <w:vMerge w:val="restart"/>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校级</w:t>
            </w:r>
          </w:p>
        </w:tc>
        <w:tc>
          <w:tcPr>
            <w:tcW w:w="209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w:t>
            </w:r>
          </w:p>
        </w:tc>
        <w:tc>
          <w:tcPr>
            <w:tcW w:w="200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6</w:t>
            </w:r>
          </w:p>
        </w:tc>
      </w:tr>
      <w:tr>
        <w:tblPrEx>
          <w:tblCellMar>
            <w:top w:w="0" w:type="dxa"/>
            <w:left w:w="10" w:type="dxa"/>
            <w:bottom w:w="0" w:type="dxa"/>
            <w:right w:w="10" w:type="dxa"/>
          </w:tblCellMar>
        </w:tblPrEx>
        <w:trPr>
          <w:jc w:val="center"/>
        </w:trPr>
        <w:tc>
          <w:tcPr>
            <w:tcW w:w="890"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9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w:t>
            </w:r>
          </w:p>
        </w:tc>
        <w:tc>
          <w:tcPr>
            <w:tcW w:w="200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4</w:t>
            </w:r>
          </w:p>
        </w:tc>
      </w:tr>
      <w:tr>
        <w:tblPrEx>
          <w:tblCellMar>
            <w:top w:w="0" w:type="dxa"/>
            <w:left w:w="10" w:type="dxa"/>
            <w:bottom w:w="0" w:type="dxa"/>
            <w:right w:w="10" w:type="dxa"/>
          </w:tblCellMar>
        </w:tblPrEx>
        <w:trPr>
          <w:jc w:val="center"/>
        </w:trPr>
        <w:tc>
          <w:tcPr>
            <w:tcW w:w="890"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9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w:t>
            </w:r>
          </w:p>
        </w:tc>
        <w:tc>
          <w:tcPr>
            <w:tcW w:w="200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3</w:t>
            </w:r>
          </w:p>
        </w:tc>
      </w:tr>
      <w:tr>
        <w:tblPrEx>
          <w:tblCellMar>
            <w:top w:w="0" w:type="dxa"/>
            <w:left w:w="10" w:type="dxa"/>
            <w:bottom w:w="0" w:type="dxa"/>
            <w:right w:w="10" w:type="dxa"/>
          </w:tblCellMar>
        </w:tblPrEx>
        <w:trPr>
          <w:jc w:val="center"/>
        </w:trPr>
        <w:tc>
          <w:tcPr>
            <w:tcW w:w="890" w:type="pct"/>
            <w:vMerge w:val="continue"/>
            <w:tcBorders>
              <w:top w:val="single" w:color="000000" w:sz="6" w:space="0"/>
              <w:left w:val="single" w:color="000000" w:sz="4" w:space="0"/>
              <w:bottom w:val="single" w:color="000000" w:sz="4" w:space="0"/>
              <w:right w:val="single" w:color="000000" w:sz="4" w:space="0"/>
            </w:tcBorders>
            <w:noWrap w:val="0"/>
            <w:tcMar>
              <w:left w:w="108" w:type="dxa"/>
              <w:right w:w="108" w:type="dxa"/>
            </w:tcMar>
            <w:vAlign w:val="center"/>
          </w:tcPr>
          <w:p>
            <w:pPr>
              <w:spacing w:after="200" w:line="600" w:lineRule="exact"/>
              <w:jc w:val="left"/>
              <w:rPr>
                <w:rFonts w:hint="eastAsia" w:ascii="仿宋_GB2312" w:hAnsi="仿宋_GB2312" w:eastAsia="仿宋_GB2312" w:cs="仿宋_GB2312"/>
                <w:color w:val="auto"/>
                <w:sz w:val="32"/>
                <w:szCs w:val="32"/>
                <w:highlight w:val="none"/>
              </w:rPr>
            </w:pPr>
          </w:p>
        </w:tc>
        <w:tc>
          <w:tcPr>
            <w:tcW w:w="209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优秀奖</w:t>
            </w:r>
          </w:p>
        </w:tc>
        <w:tc>
          <w:tcPr>
            <w:tcW w:w="2009" w:type="pct"/>
            <w:tcBorders>
              <w:top w:val="single" w:color="000000" w:sz="6" w:space="0"/>
              <w:left w:val="single" w:color="000000" w:sz="6" w:space="0"/>
              <w:bottom w:val="single" w:color="000000" w:sz="4" w:space="0"/>
              <w:right w:val="single" w:color="000000" w:sz="4" w:space="0"/>
            </w:tcBorders>
            <w:noWrap w:val="0"/>
            <w:tcMar>
              <w:left w:w="108" w:type="dxa"/>
              <w:right w:w="108" w:type="dxa"/>
            </w:tcMar>
            <w:vAlign w:val="center"/>
          </w:tcPr>
          <w:p>
            <w:pPr>
              <w:spacing w:line="600" w:lineRule="exact"/>
              <w:jc w:val="center"/>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2</w:t>
            </w:r>
          </w:p>
        </w:tc>
      </w:tr>
    </w:tbl>
    <w:p>
      <w:pPr>
        <w:spacing w:line="600" w:lineRule="exact"/>
        <w:ind w:firstLine="640" w:firstLineChars="200"/>
        <w:jc w:val="left"/>
        <w:rPr>
          <w:rFonts w:hint="eastAsia" w:ascii="仿宋_GB2312" w:hAnsi="仿宋_GB2312" w:eastAsia="仿宋_GB2312" w:cs="仿宋_GB2312"/>
          <w:color w:val="auto"/>
          <w:sz w:val="32"/>
          <w:szCs w:val="32"/>
          <w:highlight w:val="none"/>
        </w:rPr>
      </w:pP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其他说明：</w:t>
      </w:r>
    </w:p>
    <w:p>
      <w:pPr>
        <w:spacing w:line="600" w:lineRule="exact"/>
        <w:ind w:firstLine="624" w:firstLineChars="200"/>
        <w:jc w:val="left"/>
        <w:rPr>
          <w:rFonts w:hint="eastAsia" w:ascii="仿宋_GB2312" w:hAnsi="仿宋_GB2312" w:eastAsia="仿宋_GB2312" w:cs="仿宋_GB2312"/>
          <w:color w:val="auto"/>
          <w:sz w:val="32"/>
          <w:szCs w:val="32"/>
          <w:highlight w:val="none"/>
        </w:rPr>
      </w:pPr>
      <w:r>
        <w:rPr>
          <w:rFonts w:ascii="微软雅黑" w:hAnsi="微软雅黑" w:eastAsia="微软雅黑"/>
          <w:color w:val="auto"/>
          <w:spacing w:val="-4"/>
          <w:sz w:val="32"/>
          <w:szCs w:val="32"/>
          <w:highlight w:val="none"/>
        </w:rPr>
        <w:fldChar w:fldCharType="begin"/>
      </w:r>
      <w:r>
        <w:rPr>
          <w:rFonts w:ascii="微软雅黑" w:hAnsi="微软雅黑" w:eastAsia="微软雅黑"/>
          <w:color w:val="auto"/>
          <w:spacing w:val="-4"/>
          <w:sz w:val="32"/>
          <w:szCs w:val="32"/>
          <w:highlight w:val="none"/>
        </w:rPr>
        <w:instrText xml:space="preserve"> </w:instrText>
      </w:r>
      <w:r>
        <w:rPr>
          <w:rFonts w:hint="eastAsia" w:ascii="微软雅黑" w:hAnsi="微软雅黑" w:eastAsia="微软雅黑"/>
          <w:color w:val="auto"/>
          <w:spacing w:val="-4"/>
          <w:sz w:val="32"/>
          <w:szCs w:val="32"/>
          <w:highlight w:val="none"/>
        </w:rPr>
        <w:instrText xml:space="preserve">= 1 \* GB3</w:instrText>
      </w:r>
      <w:r>
        <w:rPr>
          <w:rFonts w:ascii="微软雅黑" w:hAnsi="微软雅黑" w:eastAsia="微软雅黑"/>
          <w:color w:val="auto"/>
          <w:spacing w:val="-4"/>
          <w:sz w:val="32"/>
          <w:szCs w:val="32"/>
          <w:highlight w:val="none"/>
        </w:rPr>
        <w:instrText xml:space="preserve"> </w:instrText>
      </w:r>
      <w:r>
        <w:rPr>
          <w:rFonts w:ascii="微软雅黑" w:hAnsi="微软雅黑" w:eastAsia="微软雅黑"/>
          <w:color w:val="auto"/>
          <w:spacing w:val="-4"/>
          <w:sz w:val="32"/>
          <w:szCs w:val="32"/>
          <w:highlight w:val="none"/>
        </w:rPr>
        <w:fldChar w:fldCharType="separate"/>
      </w:r>
      <w:r>
        <w:rPr>
          <w:rFonts w:hint="eastAsia" w:ascii="微软雅黑" w:hAnsi="微软雅黑" w:eastAsia="微软雅黑"/>
          <w:color w:val="auto"/>
          <w:spacing w:val="-4"/>
          <w:sz w:val="32"/>
          <w:szCs w:val="32"/>
          <w:highlight w:val="none"/>
        </w:rPr>
        <w:t>①</w:t>
      </w:r>
      <w:r>
        <w:rPr>
          <w:rFonts w:ascii="微软雅黑" w:hAnsi="微软雅黑" w:eastAsia="微软雅黑"/>
          <w:color w:val="auto"/>
          <w:spacing w:val="-4"/>
          <w:sz w:val="32"/>
          <w:szCs w:val="32"/>
          <w:highlight w:val="none"/>
        </w:rPr>
        <w:fldChar w:fldCharType="end"/>
      </w:r>
      <w:r>
        <w:rPr>
          <w:rFonts w:hint="eastAsia" w:ascii="微软雅黑" w:hAnsi="微软雅黑" w:eastAsia="微软雅黑"/>
          <w:color w:val="auto"/>
          <w:spacing w:val="-4"/>
          <w:sz w:val="32"/>
          <w:szCs w:val="32"/>
          <w:highlight w:val="none"/>
        </w:rPr>
        <w:t xml:space="preserve"> </w:t>
      </w:r>
      <w:r>
        <w:rPr>
          <w:rFonts w:hint="eastAsia" w:ascii="仿宋_GB2312" w:hAnsi="仿宋_GB2312" w:eastAsia="仿宋_GB2312" w:cs="仿宋_GB2312"/>
          <w:color w:val="auto"/>
          <w:sz w:val="32"/>
          <w:szCs w:val="32"/>
          <w:highlight w:val="none"/>
        </w:rPr>
        <w:t>优秀学生干部、优秀学位论文、优秀共产党员、优秀共青团员、三好学生等一般按照各级二等奖计分，其中标兵按照各级一等奖计分，国家励志奖学金（硕士新生）按照国家级二等计分，助学金不算分。</w:t>
      </w:r>
    </w:p>
    <w:p>
      <w:pPr>
        <w:spacing w:line="600" w:lineRule="exact"/>
        <w:ind w:firstLine="624" w:firstLineChars="200"/>
        <w:jc w:val="left"/>
        <w:rPr>
          <w:rFonts w:hint="eastAsia" w:ascii="仿宋_GB2312" w:hAnsi="仿宋_GB2312" w:eastAsia="仿宋_GB2312" w:cs="仿宋_GB2312"/>
          <w:color w:val="auto"/>
          <w:sz w:val="32"/>
          <w:szCs w:val="32"/>
          <w:highlight w:val="none"/>
        </w:rPr>
      </w:pPr>
      <w:r>
        <w:rPr>
          <w:rFonts w:ascii="微软雅黑" w:hAnsi="微软雅黑" w:eastAsia="微软雅黑"/>
          <w:color w:val="auto"/>
          <w:spacing w:val="-4"/>
          <w:sz w:val="32"/>
          <w:szCs w:val="32"/>
          <w:highlight w:val="none"/>
        </w:rPr>
        <w:fldChar w:fldCharType="begin"/>
      </w:r>
      <w:r>
        <w:rPr>
          <w:rFonts w:ascii="微软雅黑" w:hAnsi="微软雅黑" w:eastAsia="微软雅黑"/>
          <w:color w:val="auto"/>
          <w:spacing w:val="-4"/>
          <w:sz w:val="32"/>
          <w:szCs w:val="32"/>
          <w:highlight w:val="none"/>
        </w:rPr>
        <w:instrText xml:space="preserve"> </w:instrText>
      </w:r>
      <w:r>
        <w:rPr>
          <w:rFonts w:hint="eastAsia" w:ascii="微软雅黑" w:hAnsi="微软雅黑" w:eastAsia="微软雅黑"/>
          <w:color w:val="auto"/>
          <w:spacing w:val="-4"/>
          <w:sz w:val="32"/>
          <w:szCs w:val="32"/>
          <w:highlight w:val="none"/>
        </w:rPr>
        <w:instrText xml:space="preserve">= 2 \* GB3</w:instrText>
      </w:r>
      <w:r>
        <w:rPr>
          <w:rFonts w:ascii="微软雅黑" w:hAnsi="微软雅黑" w:eastAsia="微软雅黑"/>
          <w:color w:val="auto"/>
          <w:spacing w:val="-4"/>
          <w:sz w:val="32"/>
          <w:szCs w:val="32"/>
          <w:highlight w:val="none"/>
        </w:rPr>
        <w:instrText xml:space="preserve"> </w:instrText>
      </w:r>
      <w:r>
        <w:rPr>
          <w:rFonts w:ascii="微软雅黑" w:hAnsi="微软雅黑" w:eastAsia="微软雅黑"/>
          <w:color w:val="auto"/>
          <w:spacing w:val="-4"/>
          <w:sz w:val="32"/>
          <w:szCs w:val="32"/>
          <w:highlight w:val="none"/>
        </w:rPr>
        <w:fldChar w:fldCharType="separate"/>
      </w:r>
      <w:r>
        <w:rPr>
          <w:rFonts w:hint="eastAsia" w:ascii="微软雅黑" w:hAnsi="微软雅黑" w:eastAsia="微软雅黑"/>
          <w:color w:val="auto"/>
          <w:spacing w:val="-4"/>
          <w:sz w:val="32"/>
          <w:szCs w:val="32"/>
          <w:highlight w:val="none"/>
        </w:rPr>
        <w:t>②</w:t>
      </w:r>
      <w:r>
        <w:rPr>
          <w:rFonts w:ascii="微软雅黑" w:hAnsi="微软雅黑" w:eastAsia="微软雅黑"/>
          <w:color w:val="auto"/>
          <w:spacing w:val="-4"/>
          <w:sz w:val="32"/>
          <w:szCs w:val="32"/>
          <w:highlight w:val="none"/>
        </w:rPr>
        <w:fldChar w:fldCharType="end"/>
      </w:r>
      <w:r>
        <w:rPr>
          <w:rFonts w:ascii="微软雅黑" w:hAnsi="微软雅黑" w:eastAsia="微软雅黑"/>
          <w:color w:val="auto"/>
          <w:spacing w:val="-4"/>
          <w:sz w:val="32"/>
          <w:szCs w:val="32"/>
          <w:highlight w:val="none"/>
        </w:rPr>
        <w:t xml:space="preserve"> </w:t>
      </w:r>
      <w:r>
        <w:rPr>
          <w:rFonts w:hint="eastAsia" w:ascii="仿宋_GB2312" w:hAnsi="仿宋_GB2312" w:eastAsia="仿宋_GB2312" w:cs="仿宋_GB2312"/>
          <w:color w:val="auto"/>
          <w:sz w:val="32"/>
          <w:szCs w:val="32"/>
          <w:highlight w:val="none"/>
        </w:rPr>
        <w:t>同一评奖活动中获多项荣誉称号的，按最高得分项加分，不重复计分。</w:t>
      </w:r>
    </w:p>
    <w:p>
      <w:pPr>
        <w:spacing w:line="600" w:lineRule="exact"/>
        <w:ind w:firstLine="624" w:firstLineChars="200"/>
        <w:jc w:val="left"/>
        <w:rPr>
          <w:rFonts w:ascii="仿宋_GB2312" w:hAnsi="仿宋_GB2312" w:eastAsia="仿宋_GB2312" w:cs="仿宋_GB2312"/>
          <w:color w:val="auto"/>
          <w:sz w:val="32"/>
          <w:szCs w:val="32"/>
          <w:highlight w:val="none"/>
        </w:rPr>
      </w:pPr>
      <w:r>
        <w:rPr>
          <w:rFonts w:hint="eastAsia" w:ascii="微软雅黑" w:hAnsi="微软雅黑" w:eastAsia="微软雅黑"/>
          <w:color w:val="auto"/>
          <w:spacing w:val="-4"/>
          <w:sz w:val="32"/>
          <w:szCs w:val="32"/>
          <w:highlight w:val="none"/>
        </w:rPr>
        <w:fldChar w:fldCharType="begin"/>
      </w:r>
      <w:r>
        <w:rPr>
          <w:rFonts w:hint="eastAsia" w:ascii="微软雅黑" w:hAnsi="微软雅黑" w:eastAsia="微软雅黑"/>
          <w:color w:val="auto"/>
          <w:spacing w:val="-4"/>
          <w:sz w:val="32"/>
          <w:szCs w:val="32"/>
          <w:highlight w:val="none"/>
        </w:rPr>
        <w:instrText xml:space="preserve"> = 3 \* GB3 </w:instrText>
      </w:r>
      <w:r>
        <w:rPr>
          <w:rFonts w:hint="eastAsia" w:ascii="微软雅黑" w:hAnsi="微软雅黑" w:eastAsia="微软雅黑"/>
          <w:color w:val="auto"/>
          <w:spacing w:val="-4"/>
          <w:sz w:val="32"/>
          <w:szCs w:val="32"/>
          <w:highlight w:val="none"/>
        </w:rPr>
        <w:fldChar w:fldCharType="separate"/>
      </w:r>
      <w:r>
        <w:rPr>
          <w:rFonts w:hint="eastAsia" w:ascii="微软雅黑" w:hAnsi="微软雅黑" w:eastAsia="微软雅黑"/>
          <w:color w:val="auto"/>
          <w:spacing w:val="-4"/>
          <w:sz w:val="32"/>
          <w:szCs w:val="32"/>
          <w:highlight w:val="none"/>
        </w:rPr>
        <w:t>③</w:t>
      </w:r>
      <w:r>
        <w:rPr>
          <w:rFonts w:hint="eastAsia" w:ascii="微软雅黑" w:hAnsi="微软雅黑" w:eastAsia="微软雅黑"/>
          <w:color w:val="auto"/>
          <w:spacing w:val="-4"/>
          <w:sz w:val="32"/>
          <w:szCs w:val="32"/>
          <w:highlight w:val="none"/>
        </w:rPr>
        <w:fldChar w:fldCharType="end"/>
      </w:r>
      <w:r>
        <w:rPr>
          <w:rFonts w:hint="eastAsia" w:ascii="微软雅黑" w:hAnsi="微软雅黑" w:eastAsia="微软雅黑"/>
          <w:color w:val="auto"/>
          <w:spacing w:val="-4"/>
          <w:sz w:val="32"/>
          <w:szCs w:val="32"/>
          <w:highlight w:val="none"/>
        </w:rPr>
        <w:t xml:space="preserve"> </w:t>
      </w:r>
      <w:r>
        <w:rPr>
          <w:rFonts w:hint="eastAsia" w:ascii="仿宋_GB2312" w:hAnsi="仿宋_GB2312" w:eastAsia="仿宋_GB2312" w:cs="仿宋_GB2312"/>
          <w:color w:val="auto"/>
          <w:sz w:val="32"/>
          <w:szCs w:val="32"/>
          <w:highlight w:val="none"/>
        </w:rPr>
        <w:t>组织内部评奖不加分。</w:t>
      </w:r>
    </w:p>
    <w:p>
      <w:pPr>
        <w:spacing w:line="600" w:lineRule="exact"/>
        <w:ind w:firstLine="643"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第十五条</w:t>
      </w:r>
      <w:r>
        <w:rPr>
          <w:rFonts w:hint="eastAsia" w:ascii="仿宋_GB2312" w:hAnsi="仿宋_GB2312" w:eastAsia="仿宋_GB2312" w:cs="仿宋_GB2312"/>
          <w:color w:val="auto"/>
          <w:sz w:val="32"/>
          <w:szCs w:val="32"/>
          <w:highlight w:val="none"/>
        </w:rPr>
        <w:t xml:space="preserve">  分数扣减</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有以下情况者，总分扣除相应计分，具体情况如表所示。</w:t>
      </w:r>
    </w:p>
    <w:p>
      <w:pPr>
        <w:spacing w:line="600" w:lineRule="exact"/>
        <w:ind w:firstLine="624" w:firstLineChars="200"/>
        <w:rPr>
          <w:rFonts w:hint="eastAsia" w:eastAsia="仿宋_GB2312"/>
          <w:color w:val="auto"/>
          <w:sz w:val="32"/>
          <w:szCs w:val="32"/>
          <w:highlight w:val="none"/>
        </w:rPr>
      </w:pPr>
      <w:r>
        <w:rPr>
          <w:rFonts w:eastAsia="微软雅黑"/>
          <w:color w:val="auto"/>
          <w:spacing w:val="-4"/>
          <w:sz w:val="32"/>
          <w:szCs w:val="32"/>
          <w:highlight w:val="none"/>
        </w:rPr>
        <w:t>1</w:t>
      </w:r>
      <w:r>
        <w:rPr>
          <w:rFonts w:hint="eastAsia" w:ascii="微软雅黑" w:hAnsi="微软雅黑" w:eastAsia="微软雅黑"/>
          <w:color w:val="auto"/>
          <w:spacing w:val="-4"/>
          <w:sz w:val="32"/>
          <w:szCs w:val="32"/>
          <w:highlight w:val="none"/>
        </w:rPr>
        <w:t>.</w:t>
      </w:r>
      <w:r>
        <w:rPr>
          <w:rFonts w:hint="eastAsia" w:ascii="仿宋_GB2312" w:hAnsi="仿宋_GB2312" w:eastAsia="仿宋_GB2312" w:cs="仿宋_GB2312"/>
          <w:color w:val="auto"/>
          <w:sz w:val="32"/>
          <w:szCs w:val="32"/>
          <w:highlight w:val="none"/>
        </w:rPr>
        <w:t>无故缺席年级、班级集体活动（包括团组织活动、年级会、班会），扣</w:t>
      </w: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5</w:t>
      </w:r>
      <w:r>
        <w:rPr>
          <w:rFonts w:hint="eastAsia" w:ascii="仿宋_GB2312" w:hAnsi="仿宋_GB2312" w:eastAsia="仿宋_GB2312" w:cs="仿宋_GB2312"/>
          <w:color w:val="auto"/>
          <w:sz w:val="32"/>
          <w:szCs w:val="32"/>
          <w:highlight w:val="none"/>
        </w:rPr>
        <w:t>分/次，</w:t>
      </w:r>
      <w:r>
        <w:rPr>
          <w:rFonts w:hint="eastAsia" w:eastAsia="仿宋_GB2312"/>
          <w:color w:val="auto"/>
          <w:sz w:val="32"/>
          <w:szCs w:val="32"/>
          <w:highlight w:val="none"/>
        </w:rPr>
        <w:t>以年级、班级记录为准；</w:t>
      </w:r>
    </w:p>
    <w:p>
      <w:pPr>
        <w:spacing w:line="600" w:lineRule="exact"/>
        <w:ind w:firstLine="624" w:firstLineChars="200"/>
        <w:rPr>
          <w:rFonts w:hint="eastAsia" w:eastAsia="仿宋_GB2312"/>
          <w:color w:val="auto"/>
          <w:sz w:val="32"/>
          <w:szCs w:val="32"/>
          <w:highlight w:val="none"/>
        </w:rPr>
      </w:pPr>
      <w:r>
        <w:rPr>
          <w:rFonts w:eastAsia="微软雅黑"/>
          <w:color w:val="auto"/>
          <w:spacing w:val="-4"/>
          <w:sz w:val="32"/>
          <w:szCs w:val="32"/>
          <w:highlight w:val="none"/>
        </w:rPr>
        <w:t>2</w:t>
      </w:r>
      <w:r>
        <w:rPr>
          <w:rFonts w:hint="eastAsia" w:ascii="微软雅黑" w:hAnsi="微软雅黑" w:eastAsia="微软雅黑"/>
          <w:color w:val="auto"/>
          <w:spacing w:val="-4"/>
          <w:sz w:val="32"/>
          <w:szCs w:val="32"/>
          <w:highlight w:val="none"/>
        </w:rPr>
        <w:t>.</w:t>
      </w:r>
      <w:r>
        <w:rPr>
          <w:rFonts w:hint="eastAsia" w:ascii="仿宋_GB2312" w:hAnsi="仿宋_GB2312" w:eastAsia="仿宋_GB2312" w:cs="仿宋_GB2312"/>
          <w:color w:val="auto"/>
          <w:sz w:val="32"/>
          <w:szCs w:val="32"/>
          <w:highlight w:val="none"/>
        </w:rPr>
        <w:t>无故缺席研究生干部会、年级班团干部会、班委会，扣</w:t>
      </w: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5</w:t>
      </w:r>
      <w:r>
        <w:rPr>
          <w:rFonts w:hint="eastAsia" w:ascii="仿宋_GB2312" w:hAnsi="仿宋_GB2312" w:eastAsia="仿宋_GB2312" w:cs="仿宋_GB2312"/>
          <w:color w:val="auto"/>
          <w:sz w:val="32"/>
          <w:szCs w:val="32"/>
          <w:highlight w:val="none"/>
        </w:rPr>
        <w:t>分/次，</w:t>
      </w:r>
      <w:r>
        <w:rPr>
          <w:rFonts w:hint="eastAsia" w:eastAsia="仿宋_GB2312"/>
          <w:color w:val="auto"/>
          <w:sz w:val="32"/>
          <w:szCs w:val="32"/>
          <w:highlight w:val="none"/>
        </w:rPr>
        <w:t>以会议记录为准；</w:t>
      </w:r>
    </w:p>
    <w:p>
      <w:pPr>
        <w:spacing w:line="600" w:lineRule="exact"/>
        <w:ind w:firstLine="624" w:firstLineChars="200"/>
        <w:rPr>
          <w:rFonts w:hint="eastAsia" w:eastAsia="仿宋_GB2312"/>
          <w:color w:val="auto"/>
          <w:sz w:val="32"/>
          <w:szCs w:val="32"/>
          <w:highlight w:val="none"/>
        </w:rPr>
      </w:pPr>
      <w:r>
        <w:rPr>
          <w:rFonts w:eastAsia="微软雅黑"/>
          <w:color w:val="auto"/>
          <w:spacing w:val="-4"/>
          <w:sz w:val="32"/>
          <w:szCs w:val="32"/>
          <w:highlight w:val="none"/>
        </w:rPr>
        <w:t>3</w:t>
      </w:r>
      <w:r>
        <w:rPr>
          <w:rFonts w:hint="eastAsia" w:ascii="微软雅黑" w:hAnsi="微软雅黑" w:eastAsia="微软雅黑"/>
          <w:color w:val="auto"/>
          <w:spacing w:val="-4"/>
          <w:sz w:val="32"/>
          <w:szCs w:val="32"/>
          <w:highlight w:val="none"/>
        </w:rPr>
        <w:t>.</w:t>
      </w:r>
      <w:r>
        <w:rPr>
          <w:rFonts w:hint="eastAsia" w:ascii="仿宋_GB2312" w:hAnsi="仿宋_GB2312" w:eastAsia="仿宋_GB2312" w:cs="仿宋_GB2312"/>
          <w:color w:val="auto"/>
          <w:sz w:val="32"/>
          <w:szCs w:val="32"/>
          <w:highlight w:val="none"/>
        </w:rPr>
        <w:t>无故缺席党组织活动（支部大会、组织生活会、支部活动），扣</w:t>
      </w: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5</w:t>
      </w:r>
      <w:r>
        <w:rPr>
          <w:rFonts w:hint="eastAsia" w:ascii="仿宋_GB2312" w:hAnsi="仿宋_GB2312" w:eastAsia="仿宋_GB2312" w:cs="仿宋_GB2312"/>
          <w:color w:val="auto"/>
          <w:sz w:val="32"/>
          <w:szCs w:val="32"/>
          <w:highlight w:val="none"/>
        </w:rPr>
        <w:t>分/次，</w:t>
      </w:r>
      <w:r>
        <w:rPr>
          <w:rFonts w:hint="eastAsia" w:eastAsia="仿宋_GB2312"/>
          <w:color w:val="auto"/>
          <w:sz w:val="32"/>
          <w:szCs w:val="32"/>
          <w:highlight w:val="none"/>
        </w:rPr>
        <w:t>以支部记录为准；</w:t>
      </w:r>
    </w:p>
    <w:p>
      <w:pPr>
        <w:spacing w:line="600" w:lineRule="exact"/>
        <w:ind w:firstLine="624" w:firstLineChars="200"/>
        <w:rPr>
          <w:rFonts w:eastAsia="仿宋_GB2312"/>
          <w:color w:val="auto"/>
          <w:sz w:val="32"/>
          <w:szCs w:val="32"/>
          <w:highlight w:val="none"/>
        </w:rPr>
      </w:pPr>
      <w:r>
        <w:rPr>
          <w:rFonts w:eastAsia="微软雅黑"/>
          <w:color w:val="auto"/>
          <w:spacing w:val="-4"/>
          <w:sz w:val="32"/>
          <w:szCs w:val="32"/>
          <w:highlight w:val="none"/>
        </w:rPr>
        <w:t>4</w:t>
      </w:r>
      <w:r>
        <w:rPr>
          <w:rFonts w:hint="eastAsia" w:ascii="微软雅黑" w:hAnsi="微软雅黑" w:eastAsia="微软雅黑"/>
          <w:color w:val="auto"/>
          <w:spacing w:val="-4"/>
          <w:sz w:val="32"/>
          <w:szCs w:val="32"/>
          <w:highlight w:val="none"/>
        </w:rPr>
        <w:t>.</w:t>
      </w:r>
      <w:r>
        <w:rPr>
          <w:rFonts w:hint="eastAsia" w:ascii="仿宋_GB2312" w:hAnsi="仿宋_GB2312" w:eastAsia="仿宋_GB2312" w:cs="仿宋_GB2312"/>
          <w:color w:val="auto"/>
          <w:sz w:val="32"/>
          <w:szCs w:val="32"/>
          <w:highlight w:val="none"/>
        </w:rPr>
        <w:t>无故缺席教育教学活动（旷课），扣</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分/次，以考勤记录为准；</w:t>
      </w:r>
    </w:p>
    <w:p>
      <w:pPr>
        <w:spacing w:line="600" w:lineRule="exact"/>
        <w:ind w:firstLine="624" w:firstLineChars="200"/>
        <w:rPr>
          <w:rFonts w:hint="eastAsia" w:ascii="仿宋_GB2312" w:hAnsi="仿宋_GB2312" w:eastAsia="仿宋_GB2312" w:cs="仿宋_GB2312"/>
          <w:color w:val="auto"/>
          <w:sz w:val="32"/>
          <w:szCs w:val="32"/>
          <w:highlight w:val="none"/>
        </w:rPr>
      </w:pPr>
      <w:r>
        <w:rPr>
          <w:rFonts w:eastAsia="微软雅黑"/>
          <w:color w:val="auto"/>
          <w:spacing w:val="-4"/>
          <w:sz w:val="32"/>
          <w:szCs w:val="32"/>
          <w:highlight w:val="none"/>
        </w:rPr>
        <w:t>5</w:t>
      </w:r>
      <w:r>
        <w:rPr>
          <w:rFonts w:hint="eastAsia" w:ascii="微软雅黑" w:hAnsi="微软雅黑" w:eastAsia="微软雅黑"/>
          <w:color w:val="auto"/>
          <w:spacing w:val="-4"/>
          <w:sz w:val="32"/>
          <w:szCs w:val="32"/>
          <w:highlight w:val="none"/>
        </w:rPr>
        <w:t>.</w:t>
      </w:r>
      <w:r>
        <w:rPr>
          <w:rFonts w:hint="eastAsia" w:ascii="仿宋_GB2312" w:hAnsi="仿宋_GB2312" w:eastAsia="仿宋_GB2312" w:cs="仿宋_GB2312"/>
          <w:color w:val="auto"/>
          <w:sz w:val="32"/>
          <w:szCs w:val="32"/>
          <w:highlight w:val="none"/>
        </w:rPr>
        <w:t>实际不参加活动但又虚报占据名额，扣</w:t>
      </w:r>
      <w:r>
        <w:rPr>
          <w:rFonts w:eastAsia="仿宋_GB2312"/>
          <w:color w:val="auto"/>
          <w:sz w:val="32"/>
          <w:szCs w:val="32"/>
          <w:highlight w:val="none"/>
        </w:rPr>
        <w:t>2</w:t>
      </w:r>
      <w:r>
        <w:rPr>
          <w:rFonts w:hint="eastAsia" w:ascii="仿宋_GB2312" w:hAnsi="仿宋_GB2312" w:eastAsia="仿宋_GB2312" w:cs="仿宋_GB2312"/>
          <w:color w:val="auto"/>
          <w:sz w:val="32"/>
          <w:szCs w:val="32"/>
          <w:highlight w:val="none"/>
        </w:rPr>
        <w:t>分/次，以活动签到记录为准；</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因违反宿舍安全管理规定、使用违规电器，并受到院级通报批评的个人或团体，扣2分。其余</w:t>
      </w:r>
      <w:r>
        <w:rPr>
          <w:rFonts w:hint="eastAsia" w:ascii="仿宋_GB2312" w:hAnsi="仿宋_GB2312" w:eastAsia="仿宋_GB2312" w:cs="仿宋_GB2312"/>
          <w:color w:val="auto"/>
          <w:sz w:val="32"/>
          <w:szCs w:val="32"/>
          <w:highlight w:val="none"/>
        </w:rPr>
        <w:t>受到院级通报批评的个人或团队，扣</w:t>
      </w:r>
      <w:r>
        <w:rPr>
          <w:rFonts w:hint="eastAsia" w:eastAsia="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分/次，以学院公布情况为准。</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7</w:t>
      </w:r>
      <w:r>
        <w:rPr>
          <w:rFonts w:hint="eastAsia" w:ascii="仿宋_GB2312" w:hAnsi="仿宋_GB2312" w:eastAsia="仿宋_GB2312" w:cs="仿宋_GB2312"/>
          <w:color w:val="auto"/>
          <w:sz w:val="32"/>
          <w:szCs w:val="32"/>
          <w:highlight w:val="none"/>
        </w:rPr>
        <w:t>.无正当理由不配合完成校院两级日常管理事项，视情况扣</w:t>
      </w: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1</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5</w:t>
      </w:r>
      <w:r>
        <w:rPr>
          <w:rFonts w:hint="eastAsia" w:ascii="仿宋_GB2312" w:hAnsi="仿宋_GB2312" w:eastAsia="仿宋_GB2312" w:cs="仿宋_GB2312"/>
          <w:color w:val="auto"/>
          <w:sz w:val="32"/>
          <w:szCs w:val="32"/>
          <w:highlight w:val="none"/>
        </w:rPr>
        <w:t>分/次，以学院公布情况为准。</w:t>
      </w:r>
    </w:p>
    <w:p>
      <w:pPr>
        <w:spacing w:line="600" w:lineRule="exact"/>
        <w:ind w:firstLine="643"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b/>
          <w:bCs/>
          <w:color w:val="auto"/>
          <w:sz w:val="32"/>
          <w:szCs w:val="32"/>
          <w:highlight w:val="none"/>
          <w:shd w:val="clear" w:color="auto" w:fill="FFFFFF"/>
        </w:rPr>
        <w:t>第十</w:t>
      </w:r>
      <w:r>
        <w:rPr>
          <w:rFonts w:hint="eastAsia" w:ascii="仿宋_GB2312" w:hAnsi="仿宋_GB2312" w:eastAsia="仿宋_GB2312" w:cs="仿宋_GB2312"/>
          <w:b/>
          <w:bCs/>
          <w:color w:val="auto"/>
          <w:sz w:val="32"/>
          <w:szCs w:val="32"/>
          <w:highlight w:val="none"/>
          <w:shd w:val="clear" w:color="auto" w:fill="FFFFFF"/>
          <w:lang w:val="en-US" w:eastAsia="zh-CN"/>
        </w:rPr>
        <w:t>六</w:t>
      </w:r>
      <w:r>
        <w:rPr>
          <w:rFonts w:hint="eastAsia" w:ascii="仿宋_GB2312" w:hAnsi="仿宋_GB2312" w:eastAsia="仿宋_GB2312" w:cs="仿宋_GB2312"/>
          <w:b/>
          <w:bCs/>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lang w:val="en-US" w:eastAsia="zh-CN"/>
        </w:rPr>
        <w:t>总得分相同时的优先顺序</w:t>
      </w:r>
    </w:p>
    <w:p>
      <w:pPr>
        <w:spacing w:line="600" w:lineRule="exact"/>
        <w:ind w:firstLine="640" w:firstLineChars="200"/>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（1）新生：总得分相同者按照考研初试成绩高低排名；若初试成绩相同，则按照政治和英语的总分高低排名。若政治和英语的总分相同，则按照复试成绩高低排名。</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lang w:val="en-US" w:eastAsia="zh-CN"/>
        </w:rPr>
        <w:t>（2）老生：总得分相同者按照&lt;科学研究&gt;分数高低排名；如若&lt;科学研究&gt;分数相同，则按照&lt;科学创新&gt;排名；如若&lt;科学创新&gt;分数相同，则按照&lt;学习成绩&gt;分数高低排名；如若&lt;学习成绩&gt;分数相同，则按照&lt;思想道德品质&gt;分数高低排名；如若&lt;思想道德品质&gt;分数相同，则按照&lt;社会实践&gt;分数高低排名。</w:t>
      </w:r>
    </w:p>
    <w:p>
      <w:pPr>
        <w:spacing w:line="600" w:lineRule="exact"/>
        <w:ind w:firstLine="643" w:firstLineChars="200"/>
        <w:rPr>
          <w:rFonts w:hint="eastAsia" w:ascii="仿宋_GB2312" w:hAnsi="仿宋_GB2312" w:eastAsia="仿宋_GB2312" w:cs="仿宋_GB2312"/>
          <w:b/>
          <w:bCs/>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第十</w:t>
      </w:r>
      <w:r>
        <w:rPr>
          <w:rFonts w:hint="eastAsia" w:ascii="仿宋_GB2312" w:hAnsi="仿宋_GB2312" w:eastAsia="仿宋_GB2312" w:cs="仿宋_GB2312"/>
          <w:b/>
          <w:bCs/>
          <w:color w:val="auto"/>
          <w:sz w:val="32"/>
          <w:szCs w:val="32"/>
          <w:highlight w:val="none"/>
          <w:shd w:val="clear" w:color="auto" w:fill="FFFFFF"/>
          <w:lang w:val="en-US" w:eastAsia="zh-CN"/>
        </w:rPr>
        <w:t>七</w:t>
      </w:r>
      <w:r>
        <w:rPr>
          <w:rFonts w:hint="eastAsia" w:ascii="仿宋_GB2312" w:hAnsi="仿宋_GB2312" w:eastAsia="仿宋_GB2312" w:cs="仿宋_GB2312"/>
          <w:b/>
          <w:bCs/>
          <w:color w:val="auto"/>
          <w:sz w:val="32"/>
          <w:szCs w:val="32"/>
          <w:highlight w:val="none"/>
          <w:shd w:val="clear" w:color="auto" w:fill="FFFFFF"/>
        </w:rPr>
        <w:t xml:space="preserve">条  </w:t>
      </w:r>
      <w:r>
        <w:rPr>
          <w:rFonts w:hint="eastAsia" w:ascii="仿宋_GB2312" w:hAnsi="仿宋_GB2312" w:eastAsia="仿宋_GB2312" w:cs="仿宋_GB2312"/>
          <w:color w:val="auto"/>
          <w:sz w:val="32"/>
          <w:szCs w:val="32"/>
          <w:highlight w:val="none"/>
          <w:shd w:val="clear" w:color="auto" w:fill="FFFFFF"/>
        </w:rPr>
        <w:t>附则</w:t>
      </w:r>
    </w:p>
    <w:p>
      <w:pPr>
        <w:spacing w:line="600" w:lineRule="exact"/>
        <w:ind w:firstLine="640" w:firstLineChars="200"/>
        <w:jc w:val="left"/>
        <w:rPr>
          <w:rFonts w:hint="eastAsia" w:ascii="仿宋_GB2312" w:hAnsi="仿宋_GB2312" w:eastAsia="仿宋_GB2312" w:cs="仿宋_GB2312"/>
          <w:bCs/>
          <w:color w:val="auto"/>
          <w:sz w:val="32"/>
          <w:szCs w:val="32"/>
          <w:highlight w:val="none"/>
          <w:shd w:val="clear" w:color="auto" w:fill="FFFFFF"/>
        </w:rPr>
      </w:pPr>
      <w:r>
        <w:rPr>
          <w:rFonts w:hint="eastAsia" w:ascii="仿宋_GB2312" w:hAnsi="仿宋_GB2312" w:eastAsia="仿宋_GB2312" w:cs="仿宋_GB2312"/>
          <w:bCs/>
          <w:color w:val="auto"/>
          <w:sz w:val="32"/>
          <w:szCs w:val="32"/>
          <w:highlight w:val="none"/>
          <w:shd w:val="clear" w:color="auto" w:fill="FFFFFF"/>
        </w:rPr>
        <w:t>（一）本实施细则由工程学院党委负责解释。</w:t>
      </w:r>
    </w:p>
    <w:p>
      <w:pPr>
        <w:spacing w:line="600" w:lineRule="exact"/>
        <w:ind w:firstLine="640" w:firstLineChars="200"/>
        <w:jc w:val="left"/>
        <w:rPr>
          <w:rFonts w:ascii="仿宋_GB2312" w:hAnsi="仿宋_GB2312" w:eastAsia="仿宋_GB2312" w:cs="仿宋_GB2312"/>
          <w:bCs/>
          <w:color w:val="auto"/>
          <w:sz w:val="32"/>
          <w:szCs w:val="32"/>
          <w:highlight w:val="none"/>
          <w:shd w:val="clear" w:color="auto" w:fill="FFFFFF"/>
        </w:rPr>
      </w:pPr>
      <w:r>
        <w:rPr>
          <w:rFonts w:hint="eastAsia" w:ascii="仿宋_GB2312" w:hAnsi="仿宋_GB2312" w:eastAsia="仿宋_GB2312" w:cs="仿宋_GB2312"/>
          <w:bCs/>
          <w:color w:val="auto"/>
          <w:sz w:val="32"/>
          <w:szCs w:val="32"/>
          <w:highlight w:val="none"/>
          <w:shd w:val="clear" w:color="auto" w:fill="FFFFFF"/>
        </w:rPr>
        <w:t>（二）本细则自发布之日起施行，学院原相关规定与本细则不一致的，按本细则执行。</w:t>
      </w:r>
    </w:p>
    <w:p>
      <w:pPr>
        <w:spacing w:line="600" w:lineRule="exact"/>
        <w:rPr>
          <w:rFonts w:hint="eastAsia" w:ascii="仿宋_GB2312" w:hAnsi="仿宋_GB2312" w:eastAsia="仿宋_GB2312" w:cs="仿宋_GB2312"/>
          <w:color w:val="auto"/>
          <w:sz w:val="32"/>
          <w:szCs w:val="32"/>
          <w:highlight w:val="none"/>
          <w:shd w:val="clear" w:color="auto" w:fill="FFFFFF"/>
        </w:rPr>
      </w:pPr>
    </w:p>
    <w:p>
      <w:pPr>
        <w:spacing w:line="600" w:lineRule="exact"/>
        <w:ind w:left="6081" w:leftChars="304" w:hanging="5443" w:hangingChars="1701"/>
        <w:jc w:val="left"/>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rPr>
        <w:t xml:space="preserve">                    </w:t>
      </w:r>
    </w:p>
    <w:p>
      <w:pPr>
        <w:spacing w:line="600" w:lineRule="exact"/>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附件</w:t>
      </w:r>
    </w:p>
    <w:p>
      <w:pPr>
        <w:spacing w:line="600" w:lineRule="exact"/>
        <w:ind w:firstLine="880" w:firstLineChars="200"/>
        <w:jc w:val="center"/>
        <w:rPr>
          <w:rFonts w:hint="eastAsia" w:ascii="Arial Unicode MS" w:hAnsi="Arial Unicode MS" w:eastAsia="Arial Unicode MS" w:cs="Arial Unicode MS"/>
          <w:bCs/>
          <w:color w:val="auto"/>
          <w:sz w:val="44"/>
          <w:szCs w:val="44"/>
          <w:highlight w:val="none"/>
          <w:shd w:val="clear" w:color="auto" w:fill="FFFFFF"/>
        </w:rPr>
      </w:pPr>
      <w:r>
        <w:rPr>
          <w:rFonts w:hint="eastAsia" w:ascii="Arial Unicode MS" w:hAnsi="Arial Unicode MS" w:eastAsia="Arial Unicode MS" w:cs="Arial Unicode MS"/>
          <w:bCs/>
          <w:color w:val="auto"/>
          <w:sz w:val="44"/>
          <w:szCs w:val="44"/>
          <w:highlight w:val="none"/>
          <w:shd w:val="clear" w:color="auto" w:fill="FFFFFF"/>
        </w:rPr>
        <w:t>其他说明</w:t>
      </w:r>
    </w:p>
    <w:p>
      <w:pPr>
        <w:spacing w:line="600" w:lineRule="exact"/>
        <w:ind w:firstLine="640" w:firstLineChars="200"/>
        <w:jc w:val="left"/>
        <w:rPr>
          <w:rFonts w:hint="eastAsia" w:ascii="仿宋_GB2312" w:hAnsi="仿宋_GB2312" w:eastAsia="仿宋_GB2312" w:cs="仿宋_GB2312"/>
          <w:color w:val="auto"/>
          <w:sz w:val="32"/>
          <w:szCs w:val="32"/>
          <w:highlight w:val="none"/>
          <w:shd w:val="clear" w:color="auto" w:fill="FFFFFF"/>
        </w:rPr>
      </w:pPr>
    </w:p>
    <w:p>
      <w:pPr>
        <w:spacing w:line="600" w:lineRule="exact"/>
        <w:ind w:firstLine="640" w:firstLineChars="200"/>
        <w:jc w:val="left"/>
        <w:rPr>
          <w:rFonts w:hint="eastAsia" w:ascii="仿宋_GB2312" w:hAnsi="仿宋_GB2312" w:eastAsia="仿宋_GB2312" w:cs="仿宋_GB2312"/>
          <w:color w:val="auto"/>
          <w:sz w:val="32"/>
          <w:szCs w:val="32"/>
          <w:highlight w:val="none"/>
          <w:shd w:val="clear" w:color="auto" w:fill="FFFFFF"/>
        </w:rPr>
      </w:pPr>
      <w:r>
        <w:rPr>
          <w:rFonts w:eastAsia="仿宋_GB2312"/>
          <w:color w:val="auto"/>
          <w:sz w:val="32"/>
          <w:szCs w:val="32"/>
          <w:highlight w:val="none"/>
          <w:shd w:val="clear" w:color="auto" w:fill="FFFFFF"/>
        </w:rPr>
        <w:t>1</w:t>
      </w:r>
      <w:r>
        <w:rPr>
          <w:rFonts w:hint="eastAsia" w:ascii="仿宋_GB2312" w:hAnsi="仿宋_GB2312" w:eastAsia="仿宋_GB2312" w:cs="仿宋_GB2312"/>
          <w:color w:val="auto"/>
          <w:sz w:val="32"/>
          <w:szCs w:val="32"/>
          <w:highlight w:val="none"/>
          <w:shd w:val="clear" w:color="auto" w:fill="FFFFFF"/>
        </w:rPr>
        <w:t>.所有证明材料均需相关部分提供相应的公章为证。</w:t>
      </w:r>
    </w:p>
    <w:p>
      <w:pPr>
        <w:spacing w:line="600" w:lineRule="exact"/>
        <w:ind w:firstLine="640" w:firstLineChars="200"/>
        <w:jc w:val="left"/>
        <w:rPr>
          <w:rFonts w:hint="eastAsia" w:ascii="仿宋_GB2312" w:hAnsi="仿宋_GB2312" w:eastAsia="仿宋_GB2312" w:cs="仿宋_GB2312"/>
          <w:color w:val="auto"/>
          <w:sz w:val="32"/>
          <w:szCs w:val="32"/>
          <w:highlight w:val="none"/>
          <w:shd w:val="clear" w:color="auto" w:fill="FFFFFF"/>
        </w:rPr>
      </w:pPr>
      <w:r>
        <w:rPr>
          <w:rFonts w:eastAsia="仿宋_GB2312"/>
          <w:color w:val="auto"/>
          <w:sz w:val="32"/>
          <w:szCs w:val="32"/>
          <w:highlight w:val="none"/>
          <w:shd w:val="clear" w:color="auto" w:fill="FFFFFF"/>
        </w:rPr>
        <w:t>2</w:t>
      </w:r>
      <w:r>
        <w:rPr>
          <w:rFonts w:hint="eastAsia" w:ascii="仿宋_GB2312" w:hAnsi="仿宋_GB2312" w:eastAsia="仿宋_GB2312" w:cs="仿宋_GB2312"/>
          <w:color w:val="auto"/>
          <w:sz w:val="32"/>
          <w:szCs w:val="32"/>
          <w:highlight w:val="none"/>
          <w:shd w:val="clear" w:color="auto" w:fill="FFFFFF"/>
        </w:rPr>
        <w:t>.凡是获奖以公章定级别，二级学院章即院级，学校各机关部门面向全校学生举办的活动属于校级。</w:t>
      </w:r>
    </w:p>
    <w:p>
      <w:pPr>
        <w:spacing w:line="600" w:lineRule="exact"/>
        <w:ind w:firstLine="640" w:firstLineChars="200"/>
        <w:jc w:val="left"/>
        <w:rPr>
          <w:rFonts w:hint="eastAsia" w:ascii="仿宋_GB2312" w:hAnsi="仿宋_GB2312" w:eastAsia="仿宋_GB2312" w:cs="仿宋_GB2312"/>
          <w:color w:val="auto"/>
          <w:sz w:val="32"/>
          <w:szCs w:val="32"/>
          <w:highlight w:val="none"/>
          <w:shd w:val="clear" w:color="auto" w:fill="FFFFFF"/>
        </w:rPr>
      </w:pPr>
      <w:r>
        <w:rPr>
          <w:rFonts w:eastAsia="仿宋_GB2312"/>
          <w:color w:val="auto"/>
          <w:sz w:val="32"/>
          <w:szCs w:val="32"/>
          <w:highlight w:val="none"/>
          <w:shd w:val="clear" w:color="auto" w:fill="FFFFFF"/>
        </w:rPr>
        <w:t>3</w:t>
      </w:r>
      <w:r>
        <w:rPr>
          <w:rFonts w:hint="eastAsia" w:ascii="仿宋_GB2312" w:hAnsi="仿宋_GB2312" w:eastAsia="仿宋_GB2312" w:cs="仿宋_GB2312"/>
          <w:color w:val="auto"/>
          <w:sz w:val="32"/>
          <w:szCs w:val="32"/>
          <w:highlight w:val="none"/>
          <w:shd w:val="clear" w:color="auto" w:fill="FFFFFF"/>
        </w:rPr>
        <w:t>.参评研究成果界定：SCI、EI、ESI收录的正式刊物论文，以图书馆出具的最新收录证明为准；中文核心期刊刊以北京大学出版社《中文核心期刊要目总览》（最新版）为准；CSSCI期刊以中文社会科学引文索引（CSSCI最新版)来源期刊为准(论文级别以见刊时间为依据)；实用新型、外观设计专利以专利授权公布时间为准。</w:t>
      </w:r>
    </w:p>
    <w:p>
      <w:pPr>
        <w:spacing w:line="600" w:lineRule="exact"/>
        <w:ind w:firstLine="640" w:firstLineChars="200"/>
        <w:jc w:val="left"/>
        <w:rPr>
          <w:rFonts w:hint="eastAsia" w:ascii="仿宋_GB2312" w:hAnsi="仿宋_GB2312" w:eastAsia="仿宋_GB2312" w:cs="仿宋_GB2312"/>
          <w:color w:val="auto"/>
          <w:sz w:val="32"/>
          <w:szCs w:val="32"/>
          <w:highlight w:val="none"/>
          <w:shd w:val="clear" w:color="auto" w:fill="FFFFFF"/>
        </w:rPr>
      </w:pPr>
      <w:r>
        <w:rPr>
          <w:rFonts w:eastAsia="仿宋_GB2312"/>
          <w:color w:val="auto"/>
          <w:sz w:val="32"/>
          <w:szCs w:val="32"/>
          <w:highlight w:val="none"/>
          <w:shd w:val="clear" w:color="auto" w:fill="FFFFFF"/>
        </w:rPr>
        <w:t>4</w:t>
      </w:r>
      <w:r>
        <w:rPr>
          <w:rFonts w:hint="eastAsia" w:ascii="仿宋_GB2312" w:hAnsi="仿宋_GB2312" w:eastAsia="仿宋_GB2312" w:cs="仿宋_GB2312"/>
          <w:color w:val="auto"/>
          <w:sz w:val="32"/>
          <w:szCs w:val="32"/>
          <w:highlight w:val="none"/>
          <w:shd w:val="clear" w:color="auto" w:fill="FFFFFF"/>
        </w:rPr>
        <w:t>.参评研究成果时间界定。学业奖学金按年度开展，研究成果采取年度制计算。（论文和专利等成果需参考接收时间或申报时间，如果接收时间或申报时间在硕士和博士入学之前，发表时间或者批准时间在硕士和博士在读期间，不作为学业奖学金评审成果；如果没有接收或申报时间，需提交接收或申报时间证明文件）。成果应为上一年度</w:t>
      </w:r>
      <w:r>
        <w:rPr>
          <w:rFonts w:eastAsia="仿宋_GB2312"/>
          <w:color w:val="auto"/>
          <w:sz w:val="32"/>
          <w:szCs w:val="32"/>
          <w:highlight w:val="none"/>
          <w:shd w:val="clear" w:color="auto" w:fill="FFFFFF"/>
        </w:rPr>
        <w:t>9</w:t>
      </w:r>
      <w:r>
        <w:rPr>
          <w:rFonts w:hint="eastAsia" w:ascii="仿宋_GB2312" w:hAnsi="仿宋_GB2312" w:eastAsia="仿宋_GB2312" w:cs="仿宋_GB2312"/>
          <w:color w:val="auto"/>
          <w:sz w:val="32"/>
          <w:szCs w:val="32"/>
          <w:highlight w:val="none"/>
          <w:shd w:val="clear" w:color="auto" w:fill="FFFFFF"/>
        </w:rPr>
        <w:t>月</w:t>
      </w:r>
      <w:r>
        <w:rPr>
          <w:rFonts w:eastAsia="仿宋_GB2312"/>
          <w:color w:val="auto"/>
          <w:sz w:val="32"/>
          <w:szCs w:val="32"/>
          <w:highlight w:val="none"/>
          <w:shd w:val="clear" w:color="auto" w:fill="FFFFFF"/>
        </w:rPr>
        <w:t>1</w:t>
      </w:r>
      <w:r>
        <w:rPr>
          <w:rFonts w:hint="eastAsia" w:ascii="仿宋_GB2312" w:hAnsi="仿宋_GB2312" w:eastAsia="仿宋_GB2312" w:cs="仿宋_GB2312"/>
          <w:color w:val="auto"/>
          <w:sz w:val="32"/>
          <w:szCs w:val="32"/>
          <w:highlight w:val="none"/>
          <w:shd w:val="clear" w:color="auto" w:fill="FFFFFF"/>
        </w:rPr>
        <w:t>日至本年度</w:t>
      </w:r>
      <w:r>
        <w:rPr>
          <w:rFonts w:eastAsia="仿宋_GB2312"/>
          <w:color w:val="auto"/>
          <w:sz w:val="32"/>
          <w:szCs w:val="32"/>
          <w:highlight w:val="none"/>
          <w:shd w:val="clear" w:color="auto" w:fill="FFFFFF"/>
        </w:rPr>
        <w:t>8</w:t>
      </w:r>
      <w:r>
        <w:rPr>
          <w:rFonts w:hint="eastAsia" w:ascii="仿宋_GB2312" w:hAnsi="仿宋_GB2312" w:eastAsia="仿宋_GB2312" w:cs="仿宋_GB2312"/>
          <w:color w:val="auto"/>
          <w:sz w:val="32"/>
          <w:szCs w:val="32"/>
          <w:highlight w:val="none"/>
          <w:shd w:val="clear" w:color="auto" w:fill="FFFFFF"/>
        </w:rPr>
        <w:t>月</w:t>
      </w:r>
      <w:r>
        <w:rPr>
          <w:rFonts w:eastAsia="仿宋_GB2312"/>
          <w:color w:val="auto"/>
          <w:sz w:val="32"/>
          <w:szCs w:val="32"/>
          <w:highlight w:val="none"/>
          <w:shd w:val="clear" w:color="auto" w:fill="FFFFFF"/>
        </w:rPr>
        <w:t>31</w:t>
      </w:r>
      <w:r>
        <w:rPr>
          <w:rFonts w:hint="eastAsia" w:ascii="仿宋_GB2312" w:hAnsi="仿宋_GB2312" w:eastAsia="仿宋_GB2312" w:cs="仿宋_GB2312"/>
          <w:color w:val="auto"/>
          <w:sz w:val="32"/>
          <w:szCs w:val="32"/>
          <w:highlight w:val="none"/>
          <w:shd w:val="clear" w:color="auto" w:fill="FFFFFF"/>
        </w:rPr>
        <w:t>日。研究成果不得重复使用。</w:t>
      </w:r>
    </w:p>
    <w:p>
      <w:pPr>
        <w:spacing w:line="600" w:lineRule="exact"/>
        <w:ind w:firstLine="640" w:firstLineChars="200"/>
        <w:jc w:val="left"/>
        <w:rPr>
          <w:rFonts w:hint="eastAsia" w:ascii="仿宋_GB2312" w:hAnsi="仿宋_GB2312" w:eastAsia="仿宋_GB2312" w:cs="仿宋_GB2312"/>
          <w:color w:val="auto"/>
          <w:sz w:val="32"/>
          <w:szCs w:val="32"/>
          <w:highlight w:val="none"/>
          <w:shd w:val="clear" w:color="auto" w:fill="FFFFFF"/>
        </w:rPr>
      </w:pPr>
      <w:r>
        <w:rPr>
          <w:rFonts w:eastAsia="仿宋_GB2312"/>
          <w:color w:val="auto"/>
          <w:sz w:val="32"/>
          <w:szCs w:val="32"/>
          <w:highlight w:val="none"/>
          <w:shd w:val="clear" w:color="auto" w:fill="FFFFFF"/>
        </w:rPr>
        <w:t>5</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对新生而言</w:t>
      </w:r>
      <w:r>
        <w:rPr>
          <w:rFonts w:hint="eastAsia" w:ascii="仿宋_GB2312" w:hAnsi="仿宋_GB2312" w:eastAsia="仿宋_GB2312" w:cs="仿宋_GB2312"/>
          <w:color w:val="auto"/>
          <w:sz w:val="32"/>
          <w:szCs w:val="32"/>
          <w:highlight w:val="none"/>
          <w:shd w:val="clear" w:color="auto" w:fill="FFFFFF"/>
        </w:rPr>
        <w:t>，评奖学金材料有效时间为本科/硕士入学年份</w:t>
      </w:r>
      <w:r>
        <w:rPr>
          <w:rFonts w:eastAsia="仿宋_GB2312"/>
          <w:color w:val="auto"/>
          <w:sz w:val="32"/>
          <w:szCs w:val="32"/>
          <w:highlight w:val="none"/>
          <w:shd w:val="clear" w:color="auto" w:fill="FFFFFF"/>
        </w:rPr>
        <w:t>9</w:t>
      </w:r>
      <w:r>
        <w:rPr>
          <w:rFonts w:hint="eastAsia" w:ascii="仿宋_GB2312" w:hAnsi="仿宋_GB2312" w:eastAsia="仿宋_GB2312" w:cs="仿宋_GB2312"/>
          <w:color w:val="auto"/>
          <w:sz w:val="32"/>
          <w:szCs w:val="32"/>
          <w:highlight w:val="none"/>
          <w:shd w:val="clear" w:color="auto" w:fill="FFFFFF"/>
        </w:rPr>
        <w:t>月</w:t>
      </w:r>
      <w:r>
        <w:rPr>
          <w:rFonts w:eastAsia="仿宋_GB2312"/>
          <w:color w:val="auto"/>
          <w:sz w:val="32"/>
          <w:szCs w:val="32"/>
          <w:highlight w:val="none"/>
          <w:shd w:val="clear" w:color="auto" w:fill="FFFFFF"/>
        </w:rPr>
        <w:t>1</w:t>
      </w:r>
      <w:r>
        <w:rPr>
          <w:rFonts w:hint="eastAsia" w:ascii="仿宋_GB2312" w:hAnsi="仿宋_GB2312" w:eastAsia="仿宋_GB2312" w:cs="仿宋_GB2312"/>
          <w:color w:val="auto"/>
          <w:sz w:val="32"/>
          <w:szCs w:val="32"/>
          <w:highlight w:val="none"/>
          <w:shd w:val="clear" w:color="auto" w:fill="FFFFFF"/>
        </w:rPr>
        <w:t>日起，结束时间以毕业证落款时间为准。</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6</w:t>
      </w:r>
      <w:r>
        <w:rPr>
          <w:rFonts w:hint="eastAsia" w:ascii="仿宋_GB2312" w:hAnsi="仿宋_GB2312" w:eastAsia="仿宋_GB2312" w:cs="仿宋_GB2312"/>
          <w:color w:val="auto"/>
          <w:sz w:val="32"/>
          <w:szCs w:val="32"/>
          <w:highlight w:val="none"/>
        </w:rPr>
        <w:t>.志愿活动是指没有报酬的，凡有报酬或者其它组织硬性要求的志愿活动不在加分范围内。其中志愿时证明材料需要提供原件。</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7</w:t>
      </w:r>
      <w:r>
        <w:rPr>
          <w:rFonts w:hint="eastAsia" w:ascii="仿宋_GB2312" w:hAnsi="仿宋_GB2312" w:eastAsia="仿宋_GB2312" w:cs="仿宋_GB2312"/>
          <w:color w:val="auto"/>
          <w:sz w:val="32"/>
          <w:szCs w:val="32"/>
          <w:highlight w:val="none"/>
        </w:rPr>
        <w:t>.先进集体是指以学生班级或者学生组织名义获取。</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eastAsia="仿宋_GB2312"/>
          <w:color w:val="auto"/>
          <w:sz w:val="32"/>
          <w:szCs w:val="32"/>
          <w:highlight w:val="none"/>
        </w:rPr>
        <w:t>8</w:t>
      </w:r>
      <w:r>
        <w:rPr>
          <w:rFonts w:hint="eastAsia" w:ascii="仿宋_GB2312" w:hAnsi="仿宋_GB2312" w:eastAsia="仿宋_GB2312" w:cs="仿宋_GB2312"/>
          <w:color w:val="auto"/>
          <w:sz w:val="32"/>
          <w:szCs w:val="32"/>
          <w:highlight w:val="none"/>
        </w:rPr>
        <w:t xml:space="preserve">.以上所有荣誉、奖项、成果等，需要以学生身份参赛获奖方可加分。如果一年评审两次以上仅按照最高荣誉加一次分数。                     </w:t>
      </w: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E93918-ED08-4AB3-9B83-C0C60A58AA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1F00FF" w:csb1="FFFF0000"/>
    <w:embedRegular r:id="rId2" w:fontKey="{88401CD2-1EB4-4B90-B584-AFECBC4AE601}"/>
  </w:font>
  <w:font w:name="仿宋_GB2312">
    <w:altName w:val="仿宋"/>
    <w:panose1 w:val="02010609030101010101"/>
    <w:charset w:val="86"/>
    <w:family w:val="modern"/>
    <w:pitch w:val="default"/>
    <w:sig w:usb0="00000000" w:usb1="00000000" w:usb2="00000010" w:usb3="00000000" w:csb0="00040000" w:csb1="00000000"/>
    <w:embedRegular r:id="rId3" w:fontKey="{A623835D-7632-4618-ADCE-F7572A75EC04}"/>
  </w:font>
  <w:font w:name="仿宋">
    <w:panose1 w:val="02010609060101010101"/>
    <w:charset w:val="86"/>
    <w:family w:val="auto"/>
    <w:pitch w:val="default"/>
    <w:sig w:usb0="800002BF" w:usb1="38CF7CFA" w:usb2="00000016" w:usb3="00000000" w:csb0="00040001" w:csb1="00000000"/>
    <w:embedRegular r:id="rId4" w:fontKey="{C2993DDE-1D1E-4A20-8FFA-09EF5C38F26C}"/>
  </w:font>
  <w:font w:name="Cambria Math">
    <w:panose1 w:val="02040503050406030204"/>
    <w:charset w:val="00"/>
    <w:family w:val="auto"/>
    <w:pitch w:val="default"/>
    <w:sig w:usb0="E00006FF" w:usb1="420024FF" w:usb2="02000000" w:usb3="00000000" w:csb0="2000019F" w:csb1="00000000"/>
    <w:embedRegular r:id="rId5" w:fontKey="{43467BCC-3C81-4488-B4CA-7E13BF9C2B1D}"/>
  </w:font>
  <w:font w:name="楷体_GB2312">
    <w:altName w:val="楷体"/>
    <w:panose1 w:val="02010609030101010101"/>
    <w:charset w:val="86"/>
    <w:family w:val="modern"/>
    <w:pitch w:val="default"/>
    <w:sig w:usb0="00000000" w:usb1="00000000" w:usb2="00000010" w:usb3="00000000" w:csb0="00040000" w:csb1="00000000"/>
    <w:embedRegular r:id="rId6" w:fontKey="{F504AE10-F40E-460B-8A41-0938FEE36D24}"/>
  </w:font>
  <w:font w:name="微软雅黑">
    <w:panose1 w:val="020B0503020204020204"/>
    <w:charset w:val="86"/>
    <w:family w:val="swiss"/>
    <w:pitch w:val="default"/>
    <w:sig w:usb0="80000287" w:usb1="2ACF3C50" w:usb2="00000016" w:usb3="00000000" w:csb0="0004001F" w:csb1="00000000"/>
    <w:embedRegular r:id="rId7" w:fontKey="{528AA395-5D8B-4E9B-A351-2DE3355BE83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1215E"/>
    <w:multiLevelType w:val="singleLevel"/>
    <w:tmpl w:val="AB21215E"/>
    <w:lvl w:ilvl="0" w:tentative="0">
      <w:start w:val="2"/>
      <w:numFmt w:val="decimal"/>
      <w:suff w:val="nothing"/>
      <w:lvlText w:val="（%1）"/>
      <w:lvlJc w:val="left"/>
    </w:lvl>
  </w:abstractNum>
  <w:abstractNum w:abstractNumId="1">
    <w:nsid w:val="D03A944A"/>
    <w:multiLevelType w:val="singleLevel"/>
    <w:tmpl w:val="D03A944A"/>
    <w:lvl w:ilvl="0" w:tentative="0">
      <w:start w:val="2"/>
      <w:numFmt w:val="decimal"/>
      <w:lvlText w:val="%1."/>
      <w:lvlJc w:val="left"/>
      <w:pPr>
        <w:tabs>
          <w:tab w:val="left" w:pos="312"/>
        </w:tabs>
      </w:pPr>
    </w:lvl>
  </w:abstractNum>
  <w:abstractNum w:abstractNumId="2">
    <w:nsid w:val="0A24E832"/>
    <w:multiLevelType w:val="singleLevel"/>
    <w:tmpl w:val="0A24E832"/>
    <w:lvl w:ilvl="0" w:tentative="0">
      <w:start w:val="2"/>
      <w:numFmt w:val="decimal"/>
      <w:suff w:val="nothing"/>
      <w:lvlText w:val="（%1）"/>
      <w:lvlJc w:val="left"/>
    </w:lvl>
  </w:abstractNum>
  <w:abstractNum w:abstractNumId="3">
    <w:nsid w:val="2F7637D2"/>
    <w:multiLevelType w:val="singleLevel"/>
    <w:tmpl w:val="2F7637D2"/>
    <w:lvl w:ilvl="0" w:tentative="0">
      <w:start w:val="4"/>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ZjFkMjNiMzUyM2FjNGMzYzNhYTA4YTNlZTUzYWEifQ=="/>
  </w:docVars>
  <w:rsids>
    <w:rsidRoot w:val="003C14D8"/>
    <w:rsid w:val="000720EC"/>
    <w:rsid w:val="001A2396"/>
    <w:rsid w:val="002032D4"/>
    <w:rsid w:val="002513AA"/>
    <w:rsid w:val="002630BB"/>
    <w:rsid w:val="002A2727"/>
    <w:rsid w:val="00382C24"/>
    <w:rsid w:val="003C14D8"/>
    <w:rsid w:val="005D20A9"/>
    <w:rsid w:val="00657D75"/>
    <w:rsid w:val="00793AB4"/>
    <w:rsid w:val="007B404A"/>
    <w:rsid w:val="00801B9E"/>
    <w:rsid w:val="008957B4"/>
    <w:rsid w:val="008D21C2"/>
    <w:rsid w:val="008D3FAB"/>
    <w:rsid w:val="008D4EE8"/>
    <w:rsid w:val="009359F7"/>
    <w:rsid w:val="009C7EA5"/>
    <w:rsid w:val="00A87334"/>
    <w:rsid w:val="00AA09B7"/>
    <w:rsid w:val="00AF401E"/>
    <w:rsid w:val="00B40D4A"/>
    <w:rsid w:val="00C40B1B"/>
    <w:rsid w:val="00CE3F3A"/>
    <w:rsid w:val="00CF7F4B"/>
    <w:rsid w:val="00D63121"/>
    <w:rsid w:val="00E844F8"/>
    <w:rsid w:val="00F36D69"/>
    <w:rsid w:val="00F37B8F"/>
    <w:rsid w:val="00FE6F63"/>
    <w:rsid w:val="01101675"/>
    <w:rsid w:val="011B3EEF"/>
    <w:rsid w:val="01CC00AC"/>
    <w:rsid w:val="024A78CB"/>
    <w:rsid w:val="025657AD"/>
    <w:rsid w:val="02571C51"/>
    <w:rsid w:val="037803F2"/>
    <w:rsid w:val="03C74BB5"/>
    <w:rsid w:val="03DF795D"/>
    <w:rsid w:val="046046C1"/>
    <w:rsid w:val="046E793F"/>
    <w:rsid w:val="04E879DB"/>
    <w:rsid w:val="05707CAF"/>
    <w:rsid w:val="057E564D"/>
    <w:rsid w:val="063871BB"/>
    <w:rsid w:val="06EF2AFA"/>
    <w:rsid w:val="07734762"/>
    <w:rsid w:val="077A4D9B"/>
    <w:rsid w:val="07820E2B"/>
    <w:rsid w:val="07AE6BD0"/>
    <w:rsid w:val="07B34700"/>
    <w:rsid w:val="07BE62CF"/>
    <w:rsid w:val="07ED291F"/>
    <w:rsid w:val="08661090"/>
    <w:rsid w:val="095C0D0D"/>
    <w:rsid w:val="095C7B4D"/>
    <w:rsid w:val="09866CFD"/>
    <w:rsid w:val="0AAB0C0F"/>
    <w:rsid w:val="0AF67031"/>
    <w:rsid w:val="0B32672A"/>
    <w:rsid w:val="0B3E3969"/>
    <w:rsid w:val="0B4E358A"/>
    <w:rsid w:val="0B6472FC"/>
    <w:rsid w:val="0C873133"/>
    <w:rsid w:val="0D186481"/>
    <w:rsid w:val="0D3D7C96"/>
    <w:rsid w:val="0DAD4E1B"/>
    <w:rsid w:val="0DBE0A42"/>
    <w:rsid w:val="0DD26630"/>
    <w:rsid w:val="0E8D650D"/>
    <w:rsid w:val="0E8E094A"/>
    <w:rsid w:val="0E986DA0"/>
    <w:rsid w:val="0F102FD5"/>
    <w:rsid w:val="0F9F0794"/>
    <w:rsid w:val="0FA4318F"/>
    <w:rsid w:val="102D1CFC"/>
    <w:rsid w:val="109E0A4B"/>
    <w:rsid w:val="10DE52EC"/>
    <w:rsid w:val="1161484C"/>
    <w:rsid w:val="119421BE"/>
    <w:rsid w:val="127A7296"/>
    <w:rsid w:val="12863E8D"/>
    <w:rsid w:val="12FC0C11"/>
    <w:rsid w:val="14432035"/>
    <w:rsid w:val="147F49DD"/>
    <w:rsid w:val="159D3C3D"/>
    <w:rsid w:val="15B900D5"/>
    <w:rsid w:val="164F26AD"/>
    <w:rsid w:val="16921052"/>
    <w:rsid w:val="16E71807"/>
    <w:rsid w:val="17F453F5"/>
    <w:rsid w:val="18441ED8"/>
    <w:rsid w:val="193261D5"/>
    <w:rsid w:val="1954439D"/>
    <w:rsid w:val="1ABB7B78"/>
    <w:rsid w:val="1ACA102F"/>
    <w:rsid w:val="1B8847D2"/>
    <w:rsid w:val="1C0025BA"/>
    <w:rsid w:val="1CA67605"/>
    <w:rsid w:val="1CEC7CED"/>
    <w:rsid w:val="1E8E3499"/>
    <w:rsid w:val="1EB4768C"/>
    <w:rsid w:val="1EC57AEB"/>
    <w:rsid w:val="1F470500"/>
    <w:rsid w:val="1F9F0C93"/>
    <w:rsid w:val="1FCD4EA9"/>
    <w:rsid w:val="213F3B84"/>
    <w:rsid w:val="21472966"/>
    <w:rsid w:val="215B0293"/>
    <w:rsid w:val="219D50C3"/>
    <w:rsid w:val="22574EFE"/>
    <w:rsid w:val="2277734E"/>
    <w:rsid w:val="22E25CD0"/>
    <w:rsid w:val="237C10C0"/>
    <w:rsid w:val="23A14EBC"/>
    <w:rsid w:val="24AA3B8F"/>
    <w:rsid w:val="252B661C"/>
    <w:rsid w:val="25B96E23"/>
    <w:rsid w:val="26E11AC1"/>
    <w:rsid w:val="27494E8B"/>
    <w:rsid w:val="277A25A4"/>
    <w:rsid w:val="29780941"/>
    <w:rsid w:val="299A42FC"/>
    <w:rsid w:val="29B4348C"/>
    <w:rsid w:val="2B6A56C9"/>
    <w:rsid w:val="2B826010"/>
    <w:rsid w:val="2C506C46"/>
    <w:rsid w:val="2C942E56"/>
    <w:rsid w:val="2D984EB4"/>
    <w:rsid w:val="2DCE489E"/>
    <w:rsid w:val="2E80782D"/>
    <w:rsid w:val="2FB92D54"/>
    <w:rsid w:val="30CE282F"/>
    <w:rsid w:val="31EB11BF"/>
    <w:rsid w:val="32307B58"/>
    <w:rsid w:val="333E1331"/>
    <w:rsid w:val="336B483D"/>
    <w:rsid w:val="33AF52A6"/>
    <w:rsid w:val="346B473F"/>
    <w:rsid w:val="347A2726"/>
    <w:rsid w:val="350031D3"/>
    <w:rsid w:val="354C58A8"/>
    <w:rsid w:val="365B6913"/>
    <w:rsid w:val="36802C5C"/>
    <w:rsid w:val="36D65AA7"/>
    <w:rsid w:val="378679C0"/>
    <w:rsid w:val="37E56DDC"/>
    <w:rsid w:val="38C07AE9"/>
    <w:rsid w:val="396C7089"/>
    <w:rsid w:val="3A3E0A25"/>
    <w:rsid w:val="3A690939"/>
    <w:rsid w:val="3B1946E1"/>
    <w:rsid w:val="3B2F65C0"/>
    <w:rsid w:val="3BAC7F61"/>
    <w:rsid w:val="3CC95AFA"/>
    <w:rsid w:val="3E672FAA"/>
    <w:rsid w:val="3EFE0B7F"/>
    <w:rsid w:val="3FB34C03"/>
    <w:rsid w:val="40883BC7"/>
    <w:rsid w:val="40B47506"/>
    <w:rsid w:val="419973E1"/>
    <w:rsid w:val="425F778B"/>
    <w:rsid w:val="43E3619A"/>
    <w:rsid w:val="441B7BBB"/>
    <w:rsid w:val="443D4003"/>
    <w:rsid w:val="459562E7"/>
    <w:rsid w:val="461E3766"/>
    <w:rsid w:val="463E0DEC"/>
    <w:rsid w:val="46AD7F0D"/>
    <w:rsid w:val="46C41081"/>
    <w:rsid w:val="471B1ED9"/>
    <w:rsid w:val="47A65E5C"/>
    <w:rsid w:val="47E206CE"/>
    <w:rsid w:val="47FA1287"/>
    <w:rsid w:val="48822425"/>
    <w:rsid w:val="49752C0D"/>
    <w:rsid w:val="4A4A230A"/>
    <w:rsid w:val="4AA448D5"/>
    <w:rsid w:val="4B005883"/>
    <w:rsid w:val="4B3425E6"/>
    <w:rsid w:val="4B713780"/>
    <w:rsid w:val="4B7145C3"/>
    <w:rsid w:val="4BDC1E4C"/>
    <w:rsid w:val="4C9F7D92"/>
    <w:rsid w:val="4DA6589D"/>
    <w:rsid w:val="4DE421E6"/>
    <w:rsid w:val="4F465C46"/>
    <w:rsid w:val="4FAA373A"/>
    <w:rsid w:val="4FD95020"/>
    <w:rsid w:val="51595CED"/>
    <w:rsid w:val="525C3CE7"/>
    <w:rsid w:val="52A1794C"/>
    <w:rsid w:val="53D9730E"/>
    <w:rsid w:val="54464859"/>
    <w:rsid w:val="556C3621"/>
    <w:rsid w:val="564B3E56"/>
    <w:rsid w:val="565874B1"/>
    <w:rsid w:val="565A678F"/>
    <w:rsid w:val="57911D3D"/>
    <w:rsid w:val="586E33F4"/>
    <w:rsid w:val="59254E33"/>
    <w:rsid w:val="5A4E23A0"/>
    <w:rsid w:val="5B915B57"/>
    <w:rsid w:val="5C6653B2"/>
    <w:rsid w:val="5D086F45"/>
    <w:rsid w:val="5D6B23E2"/>
    <w:rsid w:val="5DED1C97"/>
    <w:rsid w:val="5ECB28FF"/>
    <w:rsid w:val="5F7D5E4A"/>
    <w:rsid w:val="600B4FEA"/>
    <w:rsid w:val="60D62F82"/>
    <w:rsid w:val="62041EA6"/>
    <w:rsid w:val="623D7285"/>
    <w:rsid w:val="63292486"/>
    <w:rsid w:val="63870498"/>
    <w:rsid w:val="63A86D8C"/>
    <w:rsid w:val="64917820"/>
    <w:rsid w:val="64B44539"/>
    <w:rsid w:val="65FF2280"/>
    <w:rsid w:val="66ED4AB6"/>
    <w:rsid w:val="6764746E"/>
    <w:rsid w:val="68331FB3"/>
    <w:rsid w:val="68704893"/>
    <w:rsid w:val="6874548F"/>
    <w:rsid w:val="6922313D"/>
    <w:rsid w:val="695D4175"/>
    <w:rsid w:val="69FD0B32"/>
    <w:rsid w:val="6A1D7927"/>
    <w:rsid w:val="6B117BC4"/>
    <w:rsid w:val="6C427C70"/>
    <w:rsid w:val="6C494E84"/>
    <w:rsid w:val="6CD97866"/>
    <w:rsid w:val="6D093C1F"/>
    <w:rsid w:val="6D601939"/>
    <w:rsid w:val="6D6D06FE"/>
    <w:rsid w:val="6E4D436E"/>
    <w:rsid w:val="6EDA1DC4"/>
    <w:rsid w:val="6EFF5CCE"/>
    <w:rsid w:val="6F74764E"/>
    <w:rsid w:val="6FD94BF8"/>
    <w:rsid w:val="70E70116"/>
    <w:rsid w:val="710D5A75"/>
    <w:rsid w:val="716679FA"/>
    <w:rsid w:val="71D90DF1"/>
    <w:rsid w:val="71F118FE"/>
    <w:rsid w:val="72437416"/>
    <w:rsid w:val="72673C8A"/>
    <w:rsid w:val="740620C1"/>
    <w:rsid w:val="74545CAF"/>
    <w:rsid w:val="74FE09EB"/>
    <w:rsid w:val="76B26092"/>
    <w:rsid w:val="76B70072"/>
    <w:rsid w:val="76C57264"/>
    <w:rsid w:val="778D20C9"/>
    <w:rsid w:val="77B23084"/>
    <w:rsid w:val="787603B5"/>
    <w:rsid w:val="795B4498"/>
    <w:rsid w:val="7AE51AB6"/>
    <w:rsid w:val="7AE8068D"/>
    <w:rsid w:val="7C042B76"/>
    <w:rsid w:val="7C6453C2"/>
    <w:rsid w:val="7C71702C"/>
    <w:rsid w:val="7CB4634A"/>
    <w:rsid w:val="7D511DEB"/>
    <w:rsid w:val="7D722ACD"/>
    <w:rsid w:val="7D7955A8"/>
    <w:rsid w:val="7DCC1471"/>
    <w:rsid w:val="7E9E696A"/>
    <w:rsid w:val="7EAC4A52"/>
    <w:rsid w:val="7EEC1D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qFormat/>
    <w:uiPriority w:val="0"/>
    <w:rPr>
      <w:kern w:val="2"/>
      <w:sz w:val="18"/>
      <w:szCs w:val="18"/>
    </w:rPr>
  </w:style>
  <w:style w:type="character" w:customStyle="1" w:styleId="8">
    <w:name w:val="页眉 字符"/>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7992</Words>
  <Characters>8297</Characters>
  <Lines>63</Lines>
  <Paragraphs>17</Paragraphs>
  <TotalTime>50</TotalTime>
  <ScaleCrop>false</ScaleCrop>
  <LinksUpToDate>false</LinksUpToDate>
  <CharactersWithSpaces>8466</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2019-06-04T00:47:00Z</dcterms:created>
  <dc:creator>Administrator</dc:creator>
  <cp:lastModifiedBy>kang</cp:lastModifiedBy>
  <cp:lastPrinted>2021-09-16T02:58:00Z</cp:lastPrinted>
  <dcterms:modified xsi:type="dcterms:W3CDTF">2023-03-10T02:00:01Z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28B4F7749BE74D4493C4A772ED5879DE</vt:lpwstr>
  </property>
  <property fmtid="{D5CDD505-2E9C-101B-9397-08002B2CF9AE}" pid="4" name="commondata">
    <vt:lpwstr>eyJoZGlkIjoiYTVlYzY3N2RmZmYxMmZkODYwZGRjMWUwYjkyNzA0ZDkifQ==</vt:lpwstr>
  </property>
</Properties>
</file>