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2F336">
      <w:pPr>
        <w:jc w:val="center"/>
        <w:rPr>
          <w:rFonts w:ascii="方正小标宋简体" w:eastAsia="方正小标宋简体"/>
          <w:sz w:val="44"/>
          <w:szCs w:val="44"/>
        </w:rPr>
      </w:pPr>
      <w:r>
        <w:rPr>
          <w:rFonts w:hint="eastAsia" w:ascii="方正小标宋简体" w:eastAsia="方正小标宋简体"/>
          <w:sz w:val="44"/>
          <w:szCs w:val="44"/>
        </w:rPr>
        <w:t>工程学院推荐优秀应届本科毕业生免试攻读</w:t>
      </w:r>
    </w:p>
    <w:p w14:paraId="3D7942DF">
      <w:pPr>
        <w:jc w:val="center"/>
        <w:rPr>
          <w:rFonts w:hint="eastAsia" w:ascii="方正小标宋简体" w:eastAsia="方正小标宋简体"/>
          <w:sz w:val="44"/>
          <w:szCs w:val="44"/>
          <w:lang w:eastAsia="zh-CN"/>
        </w:rPr>
      </w:pPr>
      <w:r>
        <w:rPr>
          <w:rFonts w:hint="eastAsia" w:ascii="方正小标宋简体" w:eastAsia="方正小标宋简体"/>
          <w:sz w:val="44"/>
          <w:szCs w:val="44"/>
        </w:rPr>
        <w:t>研究生工作细则（202</w:t>
      </w:r>
      <w:r>
        <w:rPr>
          <w:rFonts w:hint="eastAsia" w:ascii="方正小标宋简体" w:eastAsia="方正小标宋简体"/>
          <w:sz w:val="44"/>
          <w:szCs w:val="44"/>
          <w:lang w:val="en-US" w:eastAsia="zh-CN"/>
        </w:rPr>
        <w:t>6年征求意见稿</w:t>
      </w:r>
      <w:r>
        <w:rPr>
          <w:rFonts w:hint="eastAsia" w:ascii="方正小标宋简体" w:eastAsia="方正小标宋简体"/>
          <w:sz w:val="44"/>
          <w:szCs w:val="44"/>
          <w:lang w:eastAsia="zh-CN"/>
        </w:rPr>
        <w:t>）</w:t>
      </w:r>
    </w:p>
    <w:p w14:paraId="373A626F">
      <w:pPr>
        <w:adjustRightInd w:val="0"/>
        <w:snapToGrid w:val="0"/>
        <w:spacing w:before="156" w:beforeLines="50" w:after="156" w:afterLines="50" w:line="560" w:lineRule="exact"/>
        <w:jc w:val="center"/>
        <w:rPr>
          <w:rFonts w:hint="eastAsia" w:ascii="黑体" w:hAnsi="黑体" w:eastAsia="黑体" w:cs="宋体"/>
          <w:color w:val="000000"/>
          <w:sz w:val="32"/>
          <w:szCs w:val="32"/>
        </w:rPr>
      </w:pPr>
    </w:p>
    <w:p w14:paraId="4FFB3E72">
      <w:pPr>
        <w:adjustRightInd w:val="0"/>
        <w:snapToGrid w:val="0"/>
        <w:spacing w:before="156" w:beforeLines="50" w:after="156" w:afterLines="50" w:line="560" w:lineRule="exact"/>
        <w:jc w:val="center"/>
        <w:rPr>
          <w:rFonts w:ascii="黑体" w:hAnsi="黑体" w:eastAsia="黑体" w:cs="宋体"/>
          <w:color w:val="000000"/>
          <w:sz w:val="32"/>
          <w:szCs w:val="32"/>
        </w:rPr>
      </w:pPr>
      <w:r>
        <w:rPr>
          <w:rFonts w:hint="eastAsia" w:ascii="黑体" w:hAnsi="黑体" w:eastAsia="黑体" w:cs="宋体"/>
          <w:color w:val="000000"/>
          <w:sz w:val="32"/>
          <w:szCs w:val="32"/>
        </w:rPr>
        <w:t>第一章</w:t>
      </w:r>
      <w:r>
        <w:rPr>
          <w:rFonts w:ascii="黑体" w:hAnsi="黑体" w:eastAsia="黑体" w:cs="宋体"/>
          <w:color w:val="000000"/>
          <w:sz w:val="32"/>
          <w:szCs w:val="32"/>
        </w:rPr>
        <w:t xml:space="preserve">  </w:t>
      </w:r>
      <w:r>
        <w:rPr>
          <w:rFonts w:hint="eastAsia" w:ascii="黑体" w:hAnsi="黑体" w:eastAsia="黑体" w:cs="宋体"/>
          <w:color w:val="000000"/>
          <w:sz w:val="32"/>
          <w:szCs w:val="32"/>
        </w:rPr>
        <w:t>总</w:t>
      </w:r>
      <w:r>
        <w:rPr>
          <w:rFonts w:ascii="黑体" w:hAnsi="黑体" w:eastAsia="黑体" w:cs="宋体"/>
          <w:color w:val="000000"/>
          <w:sz w:val="32"/>
          <w:szCs w:val="32"/>
        </w:rPr>
        <w:t xml:space="preserve">  </w:t>
      </w:r>
      <w:r>
        <w:rPr>
          <w:rFonts w:hint="eastAsia" w:ascii="黑体" w:hAnsi="黑体" w:eastAsia="黑体" w:cs="宋体"/>
          <w:color w:val="000000"/>
          <w:sz w:val="32"/>
          <w:szCs w:val="32"/>
        </w:rPr>
        <w:t>则</w:t>
      </w:r>
    </w:p>
    <w:p w14:paraId="0C854A13">
      <w:pPr>
        <w:spacing w:line="56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第一条</w:t>
      </w:r>
      <w:r>
        <w:rPr>
          <w:rFonts w:hint="eastAsia" w:ascii="方正仿宋_GB2312" w:hAnsi="方正仿宋_GB2312" w:eastAsia="方正仿宋_GB2312" w:cs="方正仿宋_GB2312"/>
          <w:sz w:val="32"/>
          <w:szCs w:val="32"/>
        </w:rPr>
        <w:t xml:space="preserve">  根据《华南农业大学推荐优秀应届本科毕业生免试攻读研究生实施办法》（2025年修订）（华南农办〔2025〕32号）有关要求以及《华南农业大学学术论文评价方案（试行）》（华南农办〔2021〕27号）、《华南农业大学学生竞赛奖励办法》（华南农办〔2022〕38号）等文件精神，结合学院实际，制定本细则。</w:t>
      </w:r>
    </w:p>
    <w:p w14:paraId="651286F4">
      <w:pPr>
        <w:adjustRightInd w:val="0"/>
        <w:snapToGrid w:val="0"/>
        <w:spacing w:before="156" w:beforeLines="50" w:after="156" w:afterLines="50" w:line="560" w:lineRule="exact"/>
        <w:jc w:val="center"/>
        <w:rPr>
          <w:rFonts w:hint="eastAsia" w:ascii="黑体" w:hAnsi="黑体" w:eastAsia="黑体" w:cs="宋体"/>
          <w:color w:val="000000"/>
          <w:sz w:val="32"/>
          <w:szCs w:val="32"/>
        </w:rPr>
      </w:pPr>
    </w:p>
    <w:p w14:paraId="3F0101C4">
      <w:pPr>
        <w:adjustRightInd w:val="0"/>
        <w:snapToGrid w:val="0"/>
        <w:spacing w:before="156" w:beforeLines="50" w:after="156" w:afterLines="50" w:line="560" w:lineRule="exact"/>
        <w:jc w:val="center"/>
        <w:rPr>
          <w:rFonts w:ascii="黑体" w:hAnsi="黑体" w:eastAsia="黑体" w:cs="宋体"/>
          <w:color w:val="000000"/>
          <w:sz w:val="32"/>
          <w:szCs w:val="32"/>
        </w:rPr>
      </w:pPr>
      <w:r>
        <w:rPr>
          <w:rFonts w:hint="eastAsia" w:ascii="黑体" w:hAnsi="黑体" w:eastAsia="黑体" w:cs="宋体"/>
          <w:color w:val="000000"/>
          <w:sz w:val="32"/>
          <w:szCs w:val="32"/>
        </w:rPr>
        <w:t>第二章</w:t>
      </w:r>
      <w:r>
        <w:rPr>
          <w:rFonts w:ascii="黑体" w:hAnsi="黑体" w:eastAsia="黑体" w:cs="宋体"/>
          <w:color w:val="000000"/>
          <w:sz w:val="32"/>
          <w:szCs w:val="32"/>
        </w:rPr>
        <w:t xml:space="preserve">  </w:t>
      </w:r>
      <w:r>
        <w:rPr>
          <w:rFonts w:hint="eastAsia" w:ascii="黑体" w:hAnsi="黑体" w:eastAsia="黑体" w:cs="宋体"/>
          <w:color w:val="000000"/>
          <w:sz w:val="32"/>
          <w:szCs w:val="32"/>
        </w:rPr>
        <w:t>组织领导</w:t>
      </w:r>
    </w:p>
    <w:p w14:paraId="0653AE30">
      <w:pPr>
        <w:spacing w:line="56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sz w:val="32"/>
          <w:szCs w:val="32"/>
        </w:rPr>
        <w:t>第二条</w:t>
      </w:r>
      <w:r>
        <w:rPr>
          <w:rFonts w:hint="eastAsia" w:ascii="方正仿宋_GB2312" w:hAnsi="方正仿宋_GB2312" w:eastAsia="方正仿宋_GB2312" w:cs="方正仿宋_GB2312"/>
          <w:sz w:val="32"/>
          <w:szCs w:val="32"/>
        </w:rPr>
        <w:t xml:space="preserve">  学院成立学院推免生遴选工作小组及专家审核小组，负责组织实施本学院推免工作。学院推免生遴选工作小组由学院党委书记、院长、党委副书记、分管本科教学工作副院长、负责本科教学教务员和本科毕业班年级辅导员组成，按要求落实本学院推免生的报名、审核、推荐、公示等工作。学院专家审核小组由5名具有副教授以上职称的学院学术分委员会委员组成，其中，从符合条件的农业工程学科的委员中选取3人，从机械工程学科委员中选取2人。专家审核小组负责对学生科研创新成果、论文、竞赛获奖奖项及内容等方面进行审核鉴定。</w:t>
      </w:r>
    </w:p>
    <w:p w14:paraId="2C2CA414">
      <w:pPr>
        <w:adjustRightInd w:val="0"/>
        <w:snapToGrid w:val="0"/>
        <w:spacing w:before="156" w:beforeLines="50" w:after="156" w:afterLines="50" w:line="560" w:lineRule="exact"/>
        <w:jc w:val="center"/>
        <w:rPr>
          <w:rFonts w:hint="eastAsia" w:ascii="黑体" w:hAnsi="黑体" w:eastAsia="黑体" w:cs="宋体"/>
          <w:color w:val="000000"/>
          <w:sz w:val="32"/>
          <w:szCs w:val="32"/>
        </w:rPr>
      </w:pPr>
    </w:p>
    <w:p w14:paraId="372722C6">
      <w:pPr>
        <w:adjustRightInd w:val="0"/>
        <w:snapToGrid w:val="0"/>
        <w:spacing w:before="156" w:beforeLines="50" w:after="156" w:afterLines="50" w:line="560" w:lineRule="exact"/>
        <w:jc w:val="center"/>
        <w:rPr>
          <w:rFonts w:ascii="黑体" w:hAnsi="黑体" w:eastAsia="黑体" w:cs="宋体"/>
          <w:color w:val="000000"/>
          <w:sz w:val="32"/>
          <w:szCs w:val="32"/>
        </w:rPr>
      </w:pPr>
      <w:r>
        <w:rPr>
          <w:rFonts w:hint="eastAsia" w:ascii="黑体" w:hAnsi="黑体" w:eastAsia="黑体" w:cs="宋体"/>
          <w:color w:val="000000"/>
          <w:sz w:val="32"/>
          <w:szCs w:val="32"/>
        </w:rPr>
        <w:t>第三章</w:t>
      </w:r>
      <w:r>
        <w:rPr>
          <w:rFonts w:ascii="黑体" w:hAnsi="黑体" w:eastAsia="黑体" w:cs="宋体"/>
          <w:color w:val="000000"/>
          <w:sz w:val="32"/>
          <w:szCs w:val="32"/>
        </w:rPr>
        <w:t xml:space="preserve">  </w:t>
      </w:r>
      <w:r>
        <w:rPr>
          <w:rFonts w:hint="eastAsia" w:ascii="黑体" w:hAnsi="黑体" w:eastAsia="黑体" w:cs="宋体"/>
          <w:color w:val="000000"/>
          <w:sz w:val="32"/>
          <w:szCs w:val="32"/>
        </w:rPr>
        <w:t>指标分配</w:t>
      </w:r>
    </w:p>
    <w:p w14:paraId="2672EEBC">
      <w:pPr>
        <w:spacing w:line="560" w:lineRule="exact"/>
        <w:ind w:firstLine="643" w:firstLineChars="200"/>
        <w:rPr>
          <w:rFonts w:hint="eastAsia" w:ascii="方正仿宋_GB2312" w:hAnsi="方正仿宋_GB2312" w:eastAsia="方正仿宋_GB2312" w:cs="方正仿宋_GB2312"/>
          <w:color w:val="000000"/>
          <w:kern w:val="0"/>
          <w:sz w:val="31"/>
          <w:szCs w:val="31"/>
          <w:lang w:bidi="ar"/>
        </w:rPr>
      </w:pPr>
      <w:r>
        <w:rPr>
          <w:rFonts w:hint="eastAsia" w:ascii="方正仿宋_GB2312" w:hAnsi="方正仿宋_GB2312" w:eastAsia="方正仿宋_GB2312" w:cs="方正仿宋_GB2312"/>
          <w:b/>
          <w:sz w:val="32"/>
          <w:szCs w:val="32"/>
        </w:rPr>
        <w:t>第三条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color w:val="000000"/>
          <w:kern w:val="0"/>
          <w:sz w:val="31"/>
          <w:szCs w:val="31"/>
          <w:lang w:bidi="ar"/>
        </w:rPr>
        <w:t>学院推免生遴选工作小组根据学校下达的推免生指标，对可分配的指标按照年级专业人数比例分配到各专业。指标分配计算时，得出的各专业指标计算数保留四位小数，四舍五入后的整数为各专业分配指标数。指标计算数与分配指标数之差为指标计算余数，各专业指标计算余数降序排序为分配候补指标的顺序。各专业候补指标数为分配指标数和学校单列指标数之和的20%，如因四舍五入计算误差造成各专业候补指标数之和大于学院候补指标总数，则从候补顺序最后的专业减少相应候补指标。</w:t>
      </w:r>
    </w:p>
    <w:p w14:paraId="436BE63B">
      <w:pPr>
        <w:spacing w:line="560" w:lineRule="exact"/>
        <w:ind w:firstLine="620" w:firstLineChars="200"/>
        <w:rPr>
          <w:rFonts w:hint="eastAsia" w:ascii="方正仿宋_GB2312" w:hAnsi="方正仿宋_GB2312" w:eastAsia="方正仿宋_GB2312" w:cs="方正仿宋_GB2312"/>
          <w:color w:val="000000"/>
          <w:kern w:val="0"/>
          <w:sz w:val="31"/>
          <w:szCs w:val="31"/>
          <w:lang w:bidi="ar"/>
        </w:rPr>
      </w:pPr>
      <w:r>
        <w:rPr>
          <w:rFonts w:hint="eastAsia" w:ascii="方正仿宋_GB2312" w:hAnsi="方正仿宋_GB2312" w:eastAsia="方正仿宋_GB2312" w:cs="方正仿宋_GB2312"/>
          <w:color w:val="000000"/>
          <w:kern w:val="0"/>
          <w:sz w:val="31"/>
          <w:szCs w:val="31"/>
          <w:lang w:bidi="ar"/>
        </w:rPr>
        <w:t>如出现因四舍五入计算误差造成分配指标数之和大于可分配指标数的情况，对指标计算数小数部分最接近0.5的两个专业各预分配1/2个指标，比较两位预获得1/2个指标学生的综合评价成绩（按本细则第四章的方法计算），以综合评价成绩高者获得1个指标，并以此结果重新计算指标计算余数和候补指标数。</w:t>
      </w:r>
    </w:p>
    <w:p w14:paraId="231E60F4">
      <w:pPr>
        <w:adjustRightInd w:val="0"/>
        <w:snapToGrid w:val="0"/>
        <w:spacing w:before="156" w:beforeLines="50" w:after="156" w:afterLines="50" w:line="560" w:lineRule="exact"/>
        <w:jc w:val="center"/>
        <w:rPr>
          <w:rFonts w:hint="eastAsia" w:ascii="黑体" w:hAnsi="黑体" w:eastAsia="黑体" w:cs="宋体"/>
          <w:color w:val="000000"/>
          <w:sz w:val="32"/>
          <w:szCs w:val="32"/>
        </w:rPr>
      </w:pPr>
    </w:p>
    <w:p w14:paraId="0CF7164E">
      <w:pPr>
        <w:adjustRightInd w:val="0"/>
        <w:snapToGrid w:val="0"/>
        <w:spacing w:before="156" w:beforeLines="50" w:after="156" w:afterLines="50" w:line="560" w:lineRule="exact"/>
        <w:jc w:val="center"/>
        <w:rPr>
          <w:rFonts w:ascii="黑体" w:hAnsi="黑体" w:eastAsia="黑体" w:cs="宋体"/>
          <w:color w:val="000000"/>
          <w:sz w:val="32"/>
          <w:szCs w:val="32"/>
        </w:rPr>
      </w:pPr>
      <w:r>
        <w:rPr>
          <w:rFonts w:hint="eastAsia" w:ascii="黑体" w:hAnsi="黑体" w:eastAsia="黑体" w:cs="宋体"/>
          <w:color w:val="000000"/>
          <w:sz w:val="32"/>
          <w:szCs w:val="32"/>
        </w:rPr>
        <w:t>第四章</w:t>
      </w:r>
      <w:r>
        <w:rPr>
          <w:rFonts w:ascii="黑体" w:hAnsi="黑体" w:eastAsia="黑体" w:cs="宋体"/>
          <w:color w:val="000000"/>
          <w:sz w:val="32"/>
          <w:szCs w:val="32"/>
        </w:rPr>
        <w:t xml:space="preserve">  </w:t>
      </w:r>
      <w:r>
        <w:rPr>
          <w:rFonts w:hint="eastAsia" w:ascii="黑体" w:hAnsi="黑体" w:eastAsia="黑体" w:cs="宋体"/>
          <w:color w:val="000000"/>
          <w:sz w:val="32"/>
          <w:szCs w:val="32"/>
        </w:rPr>
        <w:t>遴选推荐</w:t>
      </w:r>
    </w:p>
    <w:p w14:paraId="09B00E48">
      <w:pPr>
        <w:spacing w:line="560" w:lineRule="exact"/>
        <w:ind w:firstLine="622" w:firstLineChars="200"/>
        <w:rPr>
          <w:rFonts w:hint="eastAsia" w:ascii="方正仿宋_GB2312" w:hAnsi="方正仿宋_GB2312" w:eastAsia="方正仿宋_GB2312" w:cs="方正仿宋_GB2312"/>
          <w:color w:val="000000"/>
          <w:sz w:val="32"/>
          <w:szCs w:val="32"/>
          <w:lang w:bidi="ar"/>
        </w:rPr>
      </w:pPr>
      <w:r>
        <w:rPr>
          <w:rFonts w:hint="eastAsia" w:ascii="方正仿宋_GB2312" w:hAnsi="方正仿宋_GB2312" w:eastAsia="方正仿宋_GB2312" w:cs="方正仿宋_GB2312"/>
          <w:b/>
          <w:color w:val="000000"/>
          <w:kern w:val="0"/>
          <w:sz w:val="31"/>
          <w:szCs w:val="31"/>
          <w:lang w:bidi="ar"/>
        </w:rPr>
        <w:t>第四条</w:t>
      </w:r>
      <w:r>
        <w:rPr>
          <w:rFonts w:hint="eastAsia" w:ascii="方正仿宋_GB2312" w:hAnsi="方正仿宋_GB2312" w:eastAsia="方正仿宋_GB2312" w:cs="方正仿宋_GB2312"/>
          <w:color w:val="000000"/>
          <w:kern w:val="0"/>
          <w:sz w:val="31"/>
          <w:szCs w:val="31"/>
          <w:lang w:bidi="ar"/>
        </w:rPr>
        <w:t xml:space="preserve">  申请推免学生应具备</w:t>
      </w:r>
      <w:r>
        <w:rPr>
          <w:rFonts w:hint="eastAsia" w:ascii="方正仿宋_GB2312" w:hAnsi="方正仿宋_GB2312" w:eastAsia="方正仿宋_GB2312" w:cs="方正仿宋_GB2312"/>
          <w:sz w:val="32"/>
          <w:szCs w:val="32"/>
        </w:rPr>
        <w:t>《华南农业大学推荐优秀应届本科毕业生免试攻读研究生实施办法》（2025年修订）（华南农办〔2025〕32号）“推荐要求”所列的基本条件和学业要求。其中，通过国家学生体质健康标准是指前三年体测成绩平均分≥50分（免测按通过计）。</w:t>
      </w:r>
      <w:r>
        <w:rPr>
          <w:rFonts w:hint="eastAsia" w:ascii="方正仿宋_GB2312" w:hAnsi="方正仿宋_GB2312" w:eastAsia="方正仿宋_GB2312" w:cs="方正仿宋_GB2312"/>
          <w:color w:val="000000"/>
          <w:sz w:val="32"/>
          <w:szCs w:val="32"/>
          <w:lang w:bidi="ar"/>
        </w:rPr>
        <w:t>前三学年学业平均学分绩点分专业排序，以教务系统成绩管理-查询统计分析-专业排名统计中选择全学程所有学期，显示方式选择取相同科目最好考试成绩，方案类别选择主修统计出的专业排名为准。</w:t>
      </w:r>
    </w:p>
    <w:p w14:paraId="406AFDF4">
      <w:pPr>
        <w:spacing w:line="560" w:lineRule="exact"/>
        <w:ind w:firstLine="643"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
          <w:bCs/>
          <w:color w:val="000000"/>
          <w:sz w:val="32"/>
          <w:szCs w:val="32"/>
        </w:rPr>
        <w:t>第五条</w:t>
      </w:r>
      <w:r>
        <w:rPr>
          <w:rFonts w:hint="eastAsia" w:ascii="方正仿宋_GB2312" w:hAnsi="方正仿宋_GB2312" w:eastAsia="方正仿宋_GB2312" w:cs="方正仿宋_GB2312"/>
          <w:bCs/>
          <w:color w:val="000000"/>
          <w:sz w:val="32"/>
          <w:szCs w:val="32"/>
        </w:rPr>
        <w:t xml:space="preserve">  学院推免生遴选工作小组对符合推荐要求的申请学生进行综合评价。综合评价包括对思想品德的定性评价以及对学业成绩、创新能力和发展素养的定量评价。</w:t>
      </w:r>
    </w:p>
    <w:p w14:paraId="639D4039">
      <w:pPr>
        <w:spacing w:line="560" w:lineRule="exact"/>
        <w:ind w:firstLine="643" w:firstLineChars="200"/>
        <w:rPr>
          <w:rFonts w:hint="eastAsia" w:ascii="方正仿宋_GB2312" w:hAnsi="方正仿宋_GB2312" w:eastAsia="方正仿宋_GB2312" w:cs="方正仿宋_GB2312"/>
          <w:b/>
          <w:color w:val="000000"/>
          <w:kern w:val="0"/>
          <w:sz w:val="31"/>
          <w:szCs w:val="31"/>
          <w:lang w:bidi="ar"/>
        </w:rPr>
      </w:pPr>
      <w:r>
        <w:rPr>
          <w:rFonts w:hint="eastAsia" w:ascii="方正仿宋_GB2312" w:hAnsi="方正仿宋_GB2312" w:eastAsia="方正仿宋_GB2312" w:cs="方正仿宋_GB2312"/>
          <w:b/>
          <w:bCs/>
          <w:color w:val="000000"/>
          <w:sz w:val="32"/>
          <w:szCs w:val="32"/>
        </w:rPr>
        <w:t>第六条</w:t>
      </w:r>
      <w:r>
        <w:rPr>
          <w:rFonts w:hint="eastAsia" w:ascii="方正仿宋_GB2312" w:hAnsi="方正仿宋_GB2312" w:eastAsia="方正仿宋_GB2312" w:cs="方正仿宋_GB2312"/>
          <w:bCs/>
          <w:color w:val="000000"/>
          <w:sz w:val="32"/>
          <w:szCs w:val="32"/>
        </w:rPr>
        <w:t xml:space="preserve">  综合评价成绩满分100分，其中，学业平均学分绩点（GPA）折算分总分为85分，创新能力评价总分为10分，发展素养评价分总分为5分。单项累计总分不得超过该项最高分，分值按四舍五入保留至小数点后两位。具体要求如下：</w:t>
      </w:r>
    </w:p>
    <w:p w14:paraId="22B5A898">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（一）思想品德评价（定性）</w:t>
      </w:r>
    </w:p>
    <w:p w14:paraId="2E11998D">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成立学院推免生思想品德考核组，由有关辅导员、班主任、学生代表组成，主要考察申请学生在校期间在政治觉悟、思想水平、道德品质、法纪观念等方面的认识及行为表现，结合学生所对应党支部和所在班团支部的意见，对学生思想品德进行综合评价。思想品德考核不合格者不予以推荐。</w:t>
      </w:r>
    </w:p>
    <w:p w14:paraId="743C70E3">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（二）学业成绩评价（85分）</w:t>
      </w:r>
    </w:p>
    <w:p w14:paraId="4DC3BD49">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按照</w:t>
      </w:r>
      <w:r>
        <w:rPr>
          <w:rFonts w:hint="eastAsia" w:ascii="方正仿宋_GB2312" w:hAnsi="方正仿宋_GB2312" w:eastAsia="方正仿宋_GB2312" w:cs="方正仿宋_GB2312"/>
          <w:sz w:val="32"/>
          <w:szCs w:val="32"/>
        </w:rPr>
        <w:t>《华南农业大学推荐优秀应届本科毕业生免试攻读研究生实施办法》（2025年修订）（华南农办〔2025〕32号）</w:t>
      </w:r>
      <w:r>
        <w:rPr>
          <w:rFonts w:hint="eastAsia" w:ascii="方正仿宋_GB2312" w:hAnsi="方正仿宋_GB2312" w:eastAsia="方正仿宋_GB2312" w:cs="方正仿宋_GB2312"/>
          <w:bCs/>
          <w:color w:val="000000"/>
          <w:sz w:val="32"/>
          <w:szCs w:val="32"/>
        </w:rPr>
        <w:t>由学院统一根据教务管理系统成绩进行核算。</w:t>
      </w:r>
      <w:r>
        <w:rPr>
          <w:rFonts w:hint="eastAsia" w:ascii="方正仿宋_GB2312" w:hAnsi="方正仿宋_GB2312" w:eastAsia="方正仿宋_GB2312" w:cs="方正仿宋_GB2312"/>
          <w:sz w:val="32"/>
          <w:szCs w:val="32"/>
        </w:rPr>
        <w:t>学业成绩是指截至推免申请时所修读的华南农业大学全部课程（辅修专业、辅修学士学位、微专业课程不计）全学程平均学分绩点的百分制折算成绩。</w:t>
      </w:r>
    </w:p>
    <w:p w14:paraId="69416711">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（三）创新能力评价（10分）</w:t>
      </w:r>
    </w:p>
    <w:p w14:paraId="41CDB15A">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color w:val="000000"/>
          <w:kern w:val="0"/>
          <w:sz w:val="32"/>
          <w:szCs w:val="32"/>
        </w:rPr>
        <w:t>创新能力评价包括学术论文、知识产权、学生竞赛评价。学术论文参照</w:t>
      </w:r>
      <w:r>
        <w:rPr>
          <w:rFonts w:hint="eastAsia" w:ascii="方正仿宋_GB2312" w:hAnsi="方正仿宋_GB2312" w:eastAsia="方正仿宋_GB2312" w:cs="方正仿宋_GB2312"/>
          <w:sz w:val="32"/>
          <w:szCs w:val="32"/>
        </w:rPr>
        <w:t>《华南农业大学学术论文评价方案（试行）》（华南农办〔2021〕27号）执行，</w:t>
      </w:r>
      <w:r>
        <w:rPr>
          <w:rFonts w:hint="eastAsia" w:ascii="方正仿宋_GB2312" w:hAnsi="方正仿宋_GB2312" w:eastAsia="方正仿宋_GB2312" w:cs="方正仿宋_GB2312"/>
          <w:color w:val="000000"/>
          <w:kern w:val="0"/>
          <w:sz w:val="32"/>
          <w:szCs w:val="32"/>
        </w:rPr>
        <w:t>学生竞赛参照</w:t>
      </w:r>
      <w:r>
        <w:rPr>
          <w:rFonts w:hint="eastAsia" w:ascii="方正仿宋_GB2312" w:hAnsi="方正仿宋_GB2312" w:eastAsia="方正仿宋_GB2312" w:cs="方正仿宋_GB2312"/>
          <w:sz w:val="32"/>
          <w:szCs w:val="32"/>
        </w:rPr>
        <w:t>《华南农业大学学生竞赛奖励办法》（华南农办〔2022〕38号）执行。</w:t>
      </w:r>
      <w:r>
        <w:rPr>
          <w:rFonts w:hint="eastAsia" w:ascii="方正仿宋_GB2312" w:hAnsi="方正仿宋_GB2312" w:eastAsia="方正仿宋_GB2312" w:cs="方正仿宋_GB2312"/>
          <w:color w:val="000000"/>
          <w:kern w:val="0"/>
          <w:sz w:val="32"/>
          <w:szCs w:val="32"/>
        </w:rPr>
        <w:t>申请学生的科研创新成果、论文、竞赛获奖奖项及内容等方面须经学院专家审核小组审核鉴定方可纳入综合评价成绩计算体系。具体权重如下。</w:t>
      </w:r>
    </w:p>
    <w:tbl>
      <w:tblPr>
        <w:tblStyle w:val="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3603"/>
        <w:gridCol w:w="2265"/>
        <w:gridCol w:w="1356"/>
      </w:tblGrid>
      <w:tr w14:paraId="0672F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tcPr>
          <w:p w14:paraId="04EB360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类别/总分</w:t>
            </w:r>
          </w:p>
        </w:tc>
        <w:tc>
          <w:tcPr>
            <w:tcW w:w="3603" w:type="dxa"/>
          </w:tcPr>
          <w:p w14:paraId="4E84FB25">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级别</w:t>
            </w:r>
          </w:p>
        </w:tc>
        <w:tc>
          <w:tcPr>
            <w:tcW w:w="2265" w:type="dxa"/>
          </w:tcPr>
          <w:p w14:paraId="5EA3884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排名</w:t>
            </w:r>
          </w:p>
        </w:tc>
        <w:tc>
          <w:tcPr>
            <w:tcW w:w="1356" w:type="dxa"/>
          </w:tcPr>
          <w:p w14:paraId="42B07485">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计分标准</w:t>
            </w:r>
          </w:p>
        </w:tc>
      </w:tr>
      <w:tr w14:paraId="2FBA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restart"/>
            <w:vAlign w:val="center"/>
          </w:tcPr>
          <w:p w14:paraId="02DD409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1.学术论文</w:t>
            </w:r>
          </w:p>
          <w:p w14:paraId="7D02BA7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（满分3.5分）</w:t>
            </w:r>
          </w:p>
        </w:tc>
        <w:tc>
          <w:tcPr>
            <w:tcW w:w="3603" w:type="dxa"/>
            <w:vAlign w:val="center"/>
          </w:tcPr>
          <w:p w14:paraId="6CB74AA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T1、T2类</w:t>
            </w:r>
          </w:p>
        </w:tc>
        <w:tc>
          <w:tcPr>
            <w:tcW w:w="2265" w:type="dxa"/>
            <w:vAlign w:val="center"/>
          </w:tcPr>
          <w:p w14:paraId="4EB701A4">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第1-8作者</w:t>
            </w:r>
          </w:p>
        </w:tc>
        <w:tc>
          <w:tcPr>
            <w:tcW w:w="1356" w:type="dxa"/>
            <w:vAlign w:val="center"/>
          </w:tcPr>
          <w:p w14:paraId="5DC6D3D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3.5</w:t>
            </w:r>
          </w:p>
        </w:tc>
      </w:tr>
      <w:tr w14:paraId="5A84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1DD7981D">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72F3413C">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A类</w:t>
            </w:r>
          </w:p>
        </w:tc>
        <w:tc>
          <w:tcPr>
            <w:tcW w:w="2265" w:type="dxa"/>
            <w:vAlign w:val="center"/>
          </w:tcPr>
          <w:p w14:paraId="791A9D8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第1作者</w:t>
            </w:r>
          </w:p>
        </w:tc>
        <w:tc>
          <w:tcPr>
            <w:tcW w:w="1356" w:type="dxa"/>
            <w:vAlign w:val="center"/>
          </w:tcPr>
          <w:p w14:paraId="0D1ADC5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3.5</w:t>
            </w:r>
          </w:p>
        </w:tc>
      </w:tr>
      <w:tr w14:paraId="3A83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1C363342">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66592E56">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06537E6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第2-4作者</w:t>
            </w:r>
          </w:p>
        </w:tc>
        <w:tc>
          <w:tcPr>
            <w:tcW w:w="1356" w:type="dxa"/>
            <w:vAlign w:val="center"/>
          </w:tcPr>
          <w:p w14:paraId="4C24CAC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2.5</w:t>
            </w:r>
          </w:p>
        </w:tc>
      </w:tr>
      <w:tr w14:paraId="2997E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700931A0">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2BC1BE90">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42B8627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第5-8作者</w:t>
            </w:r>
          </w:p>
        </w:tc>
        <w:tc>
          <w:tcPr>
            <w:tcW w:w="1356" w:type="dxa"/>
            <w:vAlign w:val="center"/>
          </w:tcPr>
          <w:p w14:paraId="36A66C5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5EFC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4510882">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73C04874">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B类</w:t>
            </w:r>
          </w:p>
        </w:tc>
        <w:tc>
          <w:tcPr>
            <w:tcW w:w="2265" w:type="dxa"/>
            <w:vAlign w:val="center"/>
          </w:tcPr>
          <w:p w14:paraId="32A8733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第1作者</w:t>
            </w:r>
          </w:p>
        </w:tc>
        <w:tc>
          <w:tcPr>
            <w:tcW w:w="1356" w:type="dxa"/>
          </w:tcPr>
          <w:p w14:paraId="0357EBC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rPr>
              <w:t>3</w:t>
            </w:r>
          </w:p>
        </w:tc>
      </w:tr>
      <w:tr w14:paraId="24B2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784B473">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090B53EE">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129F952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第2-4作者</w:t>
            </w:r>
          </w:p>
        </w:tc>
        <w:tc>
          <w:tcPr>
            <w:tcW w:w="1356" w:type="dxa"/>
          </w:tcPr>
          <w:p w14:paraId="0F28A0EE">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rPr>
              <w:t>2</w:t>
            </w:r>
          </w:p>
        </w:tc>
      </w:tr>
      <w:tr w14:paraId="468C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D5A0015">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30C21E57">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2212BB0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第5-8作者</w:t>
            </w:r>
          </w:p>
        </w:tc>
        <w:tc>
          <w:tcPr>
            <w:tcW w:w="1356" w:type="dxa"/>
          </w:tcPr>
          <w:p w14:paraId="439F04E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rPr>
              <w:t>0.6</w:t>
            </w:r>
          </w:p>
        </w:tc>
      </w:tr>
      <w:tr w14:paraId="03E0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FB13D56">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7D8AF52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C类</w:t>
            </w:r>
          </w:p>
        </w:tc>
        <w:tc>
          <w:tcPr>
            <w:tcW w:w="2265" w:type="dxa"/>
            <w:vAlign w:val="center"/>
          </w:tcPr>
          <w:p w14:paraId="56EB4B4E">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第1作者</w:t>
            </w:r>
          </w:p>
        </w:tc>
        <w:tc>
          <w:tcPr>
            <w:tcW w:w="1356" w:type="dxa"/>
          </w:tcPr>
          <w:p w14:paraId="1BB4D87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rPr>
              <w:t>2</w:t>
            </w:r>
          </w:p>
        </w:tc>
      </w:tr>
      <w:tr w14:paraId="2F62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38D95D26">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05D75D6A">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3227607C">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第2-4作者</w:t>
            </w:r>
          </w:p>
        </w:tc>
        <w:tc>
          <w:tcPr>
            <w:tcW w:w="1356" w:type="dxa"/>
          </w:tcPr>
          <w:p w14:paraId="2BAD38A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rPr>
              <w:t>1</w:t>
            </w:r>
          </w:p>
        </w:tc>
      </w:tr>
      <w:tr w14:paraId="2D4A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2FD884D">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1362CEF6">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50AA76C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第5-8作者</w:t>
            </w:r>
          </w:p>
        </w:tc>
        <w:tc>
          <w:tcPr>
            <w:tcW w:w="1356" w:type="dxa"/>
          </w:tcPr>
          <w:p w14:paraId="369C829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rPr>
              <w:t>0.3</w:t>
            </w:r>
          </w:p>
        </w:tc>
      </w:tr>
      <w:tr w14:paraId="46C9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restart"/>
            <w:vAlign w:val="center"/>
          </w:tcPr>
          <w:p w14:paraId="15A613E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2.知识产权</w:t>
            </w:r>
          </w:p>
          <w:p w14:paraId="1F561BEC">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（满分3分）</w:t>
            </w:r>
          </w:p>
        </w:tc>
        <w:tc>
          <w:tcPr>
            <w:tcW w:w="3603" w:type="dxa"/>
            <w:vMerge w:val="restart"/>
            <w:vAlign w:val="center"/>
          </w:tcPr>
          <w:p w14:paraId="4579FD8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发明专利授权</w:t>
            </w:r>
          </w:p>
        </w:tc>
        <w:tc>
          <w:tcPr>
            <w:tcW w:w="2265" w:type="dxa"/>
          </w:tcPr>
          <w:p w14:paraId="73FF36B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20E3308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3</w:t>
            </w:r>
          </w:p>
        </w:tc>
      </w:tr>
      <w:tr w14:paraId="2787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33730610">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5EBC5F6A">
            <w:pPr>
              <w:spacing w:line="400" w:lineRule="exact"/>
              <w:jc w:val="center"/>
              <w:rPr>
                <w:rFonts w:hint="eastAsia" w:ascii="方正仿宋_GB2312" w:hAnsi="方正仿宋_GB2312" w:eastAsia="方正仿宋_GB2312" w:cs="方正仿宋_GB2312"/>
                <w:sz w:val="24"/>
                <w:szCs w:val="24"/>
              </w:rPr>
            </w:pPr>
          </w:p>
        </w:tc>
        <w:tc>
          <w:tcPr>
            <w:tcW w:w="2265" w:type="dxa"/>
          </w:tcPr>
          <w:p w14:paraId="7BA549E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排序2-5</w:t>
            </w:r>
          </w:p>
        </w:tc>
        <w:tc>
          <w:tcPr>
            <w:tcW w:w="1356" w:type="dxa"/>
            <w:vAlign w:val="center"/>
          </w:tcPr>
          <w:p w14:paraId="0F1158C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2</w:t>
            </w:r>
          </w:p>
        </w:tc>
      </w:tr>
      <w:tr w14:paraId="0A93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D4B0CCD">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1336DE48">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tcPr>
          <w:p w14:paraId="3AFA206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排序6-8</w:t>
            </w:r>
          </w:p>
        </w:tc>
        <w:tc>
          <w:tcPr>
            <w:tcW w:w="1356" w:type="dxa"/>
            <w:vAlign w:val="center"/>
          </w:tcPr>
          <w:p w14:paraId="28BA351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08D2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519B050B">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431D671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实用新型专利授权</w:t>
            </w:r>
          </w:p>
        </w:tc>
        <w:tc>
          <w:tcPr>
            <w:tcW w:w="2265" w:type="dxa"/>
          </w:tcPr>
          <w:p w14:paraId="5A08AD0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19E1DC6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1.5</w:t>
            </w:r>
          </w:p>
        </w:tc>
      </w:tr>
      <w:tr w14:paraId="1622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7D2343FF">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4CF49256">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tcPr>
          <w:p w14:paraId="5D9EBB1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排序2-5</w:t>
            </w:r>
          </w:p>
        </w:tc>
        <w:tc>
          <w:tcPr>
            <w:tcW w:w="1356" w:type="dxa"/>
            <w:vAlign w:val="center"/>
          </w:tcPr>
          <w:p w14:paraId="2D7C56F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0519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386C6692">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31A7AECE">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tcPr>
          <w:p w14:paraId="08E9DE6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排序6-8</w:t>
            </w:r>
          </w:p>
        </w:tc>
        <w:tc>
          <w:tcPr>
            <w:tcW w:w="1356" w:type="dxa"/>
            <w:vAlign w:val="center"/>
          </w:tcPr>
          <w:p w14:paraId="0F06709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0.5</w:t>
            </w:r>
          </w:p>
        </w:tc>
      </w:tr>
      <w:tr w14:paraId="30FE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E1D10FA">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4C2135D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外观设计专利授权及软件著作权发证</w:t>
            </w:r>
          </w:p>
        </w:tc>
        <w:tc>
          <w:tcPr>
            <w:tcW w:w="2265" w:type="dxa"/>
          </w:tcPr>
          <w:p w14:paraId="311C407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23E205A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02E1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30F20D19">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50ED43FC">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tcPr>
          <w:p w14:paraId="3955F47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排序2-5</w:t>
            </w:r>
          </w:p>
        </w:tc>
        <w:tc>
          <w:tcPr>
            <w:tcW w:w="1356" w:type="dxa"/>
            <w:vAlign w:val="center"/>
          </w:tcPr>
          <w:p w14:paraId="31902B8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0.5</w:t>
            </w:r>
          </w:p>
        </w:tc>
      </w:tr>
      <w:tr w14:paraId="2A686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30ADA9BD">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11557FE6">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tcPr>
          <w:p w14:paraId="1818429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排序6-8</w:t>
            </w:r>
          </w:p>
        </w:tc>
        <w:tc>
          <w:tcPr>
            <w:tcW w:w="1356" w:type="dxa"/>
            <w:vAlign w:val="center"/>
          </w:tcPr>
          <w:p w14:paraId="75BE8E5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0.25</w:t>
            </w:r>
          </w:p>
        </w:tc>
      </w:tr>
      <w:tr w14:paraId="206D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restart"/>
            <w:vAlign w:val="center"/>
          </w:tcPr>
          <w:p w14:paraId="039912B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3.学生竞赛</w:t>
            </w:r>
          </w:p>
          <w:p w14:paraId="227083C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（满分3.5分）</w:t>
            </w:r>
          </w:p>
        </w:tc>
        <w:tc>
          <w:tcPr>
            <w:tcW w:w="3603" w:type="dxa"/>
            <w:vMerge w:val="restart"/>
            <w:vAlign w:val="center"/>
          </w:tcPr>
          <w:p w14:paraId="517C15B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竞赛名录内全国赛最高等级奖</w:t>
            </w:r>
          </w:p>
        </w:tc>
        <w:tc>
          <w:tcPr>
            <w:tcW w:w="2265" w:type="dxa"/>
            <w:vAlign w:val="center"/>
          </w:tcPr>
          <w:p w14:paraId="205A4F6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排序1-3</w:t>
            </w:r>
          </w:p>
        </w:tc>
        <w:tc>
          <w:tcPr>
            <w:tcW w:w="1356" w:type="dxa"/>
            <w:vAlign w:val="center"/>
          </w:tcPr>
          <w:p w14:paraId="43A4B2D4">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2</w:t>
            </w:r>
          </w:p>
        </w:tc>
      </w:tr>
      <w:tr w14:paraId="4EC2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1A4BF9D9">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6FBCB22D">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350C58F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排序4-6</w:t>
            </w:r>
          </w:p>
        </w:tc>
        <w:tc>
          <w:tcPr>
            <w:tcW w:w="1356" w:type="dxa"/>
            <w:vAlign w:val="center"/>
          </w:tcPr>
          <w:p w14:paraId="35BDD5D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0.8</w:t>
            </w:r>
          </w:p>
        </w:tc>
      </w:tr>
      <w:tr w14:paraId="6210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1995AE12">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1E43B844">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2700C65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排序7及之后</w:t>
            </w:r>
          </w:p>
        </w:tc>
        <w:tc>
          <w:tcPr>
            <w:tcW w:w="1356" w:type="dxa"/>
            <w:vAlign w:val="center"/>
          </w:tcPr>
          <w:p w14:paraId="63C6F0C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0.2</w:t>
            </w:r>
          </w:p>
        </w:tc>
      </w:tr>
      <w:tr w14:paraId="1C65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2EA97414">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35D6DC7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竞赛名录内全国赛次高等级奖</w:t>
            </w:r>
          </w:p>
        </w:tc>
        <w:tc>
          <w:tcPr>
            <w:tcW w:w="2265" w:type="dxa"/>
            <w:vAlign w:val="center"/>
          </w:tcPr>
          <w:p w14:paraId="0ED37ED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排序1-2</w:t>
            </w:r>
          </w:p>
        </w:tc>
        <w:tc>
          <w:tcPr>
            <w:tcW w:w="1356" w:type="dxa"/>
            <w:vAlign w:val="center"/>
          </w:tcPr>
          <w:p w14:paraId="62B6DDBE">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1.5</w:t>
            </w:r>
          </w:p>
        </w:tc>
      </w:tr>
      <w:tr w14:paraId="74FA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3A001DD">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2C7427CB">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7F276C8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排序3-4</w:t>
            </w:r>
          </w:p>
        </w:tc>
        <w:tc>
          <w:tcPr>
            <w:tcW w:w="1356" w:type="dxa"/>
            <w:vAlign w:val="center"/>
          </w:tcPr>
          <w:p w14:paraId="267BC32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0.6</w:t>
            </w:r>
          </w:p>
        </w:tc>
      </w:tr>
      <w:tr w14:paraId="7634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370B395">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55A62562">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61F4FAA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排序5及之后</w:t>
            </w:r>
          </w:p>
        </w:tc>
        <w:tc>
          <w:tcPr>
            <w:tcW w:w="1356" w:type="dxa"/>
            <w:vAlign w:val="center"/>
          </w:tcPr>
          <w:p w14:paraId="0E41325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0.15</w:t>
            </w:r>
          </w:p>
        </w:tc>
      </w:tr>
      <w:tr w14:paraId="324CE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4A6586A">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5C9AC22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竞赛名录内全国赛第三等级奖</w:t>
            </w:r>
          </w:p>
        </w:tc>
        <w:tc>
          <w:tcPr>
            <w:tcW w:w="2265" w:type="dxa"/>
            <w:vAlign w:val="center"/>
          </w:tcPr>
          <w:p w14:paraId="38167435">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5074F7A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303A5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C6C2641">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6C045E2F">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7E9E115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排序2</w:t>
            </w:r>
          </w:p>
        </w:tc>
        <w:tc>
          <w:tcPr>
            <w:tcW w:w="1356" w:type="dxa"/>
            <w:vAlign w:val="center"/>
          </w:tcPr>
          <w:p w14:paraId="110CB9A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0.4</w:t>
            </w:r>
          </w:p>
        </w:tc>
      </w:tr>
      <w:tr w14:paraId="6C04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8947D5F">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039A7191">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5703892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排序3及之后</w:t>
            </w:r>
          </w:p>
        </w:tc>
        <w:tc>
          <w:tcPr>
            <w:tcW w:w="1356" w:type="dxa"/>
            <w:vAlign w:val="center"/>
          </w:tcPr>
          <w:p w14:paraId="3DB1E0A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0.1</w:t>
            </w:r>
          </w:p>
        </w:tc>
      </w:tr>
      <w:tr w14:paraId="28C0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7F58B147">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0895DC9E">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竞赛名录内全国赛设特等奖赛事的三等奖</w:t>
            </w:r>
          </w:p>
        </w:tc>
        <w:tc>
          <w:tcPr>
            <w:tcW w:w="2265" w:type="dxa"/>
            <w:vAlign w:val="center"/>
          </w:tcPr>
          <w:p w14:paraId="783D5B8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64EE65B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0.5</w:t>
            </w:r>
          </w:p>
        </w:tc>
      </w:tr>
      <w:tr w14:paraId="68C6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7681E375">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6FFFE9AD">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47B47A8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排序2及之后</w:t>
            </w:r>
          </w:p>
        </w:tc>
        <w:tc>
          <w:tcPr>
            <w:tcW w:w="1356" w:type="dxa"/>
            <w:vAlign w:val="center"/>
          </w:tcPr>
          <w:p w14:paraId="71CD371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0.05</w:t>
            </w:r>
          </w:p>
        </w:tc>
      </w:tr>
      <w:tr w14:paraId="322B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220CFAB">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7FCB9C66">
            <w:pPr>
              <w:spacing w:line="400" w:lineRule="exact"/>
              <w:jc w:val="center"/>
              <w:rPr>
                <w:rFonts w:hint="eastAsia" w:ascii="方正仿宋_GB2312" w:hAnsi="方正仿宋_GB2312" w:eastAsia="方正仿宋_GB2312" w:cs="方正仿宋_GB2312"/>
                <w:bCs/>
                <w:color w:val="000000"/>
                <w:sz w:val="24"/>
                <w:szCs w:val="24"/>
                <w:highlight w:val="yellow"/>
              </w:rPr>
            </w:pPr>
            <w:r>
              <w:rPr>
                <w:rFonts w:hint="eastAsia" w:ascii="方正仿宋_GB2312" w:hAnsi="方正仿宋_GB2312" w:eastAsia="方正仿宋_GB2312" w:cs="方正仿宋_GB2312"/>
                <w:bCs/>
                <w:color w:val="000000"/>
                <w:sz w:val="24"/>
                <w:szCs w:val="24"/>
              </w:rPr>
              <w:t>广东省本科高校大学生十大学科竞赛省级最高等级奖</w:t>
            </w:r>
          </w:p>
        </w:tc>
        <w:tc>
          <w:tcPr>
            <w:tcW w:w="2265" w:type="dxa"/>
            <w:vAlign w:val="center"/>
          </w:tcPr>
          <w:p w14:paraId="413BE79F">
            <w:pPr>
              <w:spacing w:line="400" w:lineRule="exact"/>
              <w:jc w:val="center"/>
              <w:rPr>
                <w:rFonts w:hint="eastAsia" w:ascii="方正仿宋_GB2312" w:hAnsi="方正仿宋_GB2312" w:eastAsia="方正仿宋_GB2312" w:cs="方正仿宋_GB2312"/>
                <w:bCs/>
                <w:color w:val="000000"/>
                <w:sz w:val="24"/>
                <w:szCs w:val="24"/>
                <w:highlight w:val="yellow"/>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32318E43">
            <w:pPr>
              <w:spacing w:line="400" w:lineRule="exact"/>
              <w:jc w:val="center"/>
              <w:rPr>
                <w:rFonts w:hint="eastAsia" w:ascii="方正仿宋_GB2312" w:hAnsi="方正仿宋_GB2312" w:eastAsia="方正仿宋_GB2312" w:cs="方正仿宋_GB2312"/>
                <w:bCs/>
                <w:color w:val="000000"/>
                <w:sz w:val="24"/>
                <w:szCs w:val="24"/>
                <w:highlight w:val="yellow"/>
              </w:rPr>
            </w:pPr>
            <w:r>
              <w:rPr>
                <w:rFonts w:hint="eastAsia" w:ascii="方正仿宋_GB2312" w:hAnsi="方正仿宋_GB2312" w:eastAsia="方正仿宋_GB2312" w:cs="方正仿宋_GB2312"/>
                <w:bCs/>
                <w:color w:val="000000"/>
                <w:sz w:val="24"/>
                <w:szCs w:val="24"/>
              </w:rPr>
              <w:t>0.5</w:t>
            </w:r>
          </w:p>
        </w:tc>
      </w:tr>
      <w:tr w14:paraId="057A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75FFAE0">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48284AA0">
            <w:pPr>
              <w:spacing w:line="400" w:lineRule="exact"/>
              <w:jc w:val="center"/>
              <w:rPr>
                <w:rFonts w:hint="eastAsia" w:ascii="方正仿宋_GB2312" w:hAnsi="方正仿宋_GB2312" w:eastAsia="方正仿宋_GB2312" w:cs="方正仿宋_GB2312"/>
                <w:bCs/>
                <w:color w:val="000000"/>
                <w:sz w:val="24"/>
                <w:szCs w:val="24"/>
                <w:highlight w:val="yellow"/>
              </w:rPr>
            </w:pPr>
          </w:p>
        </w:tc>
        <w:tc>
          <w:tcPr>
            <w:tcW w:w="2265" w:type="dxa"/>
            <w:vAlign w:val="center"/>
          </w:tcPr>
          <w:p w14:paraId="4CC3C181">
            <w:pPr>
              <w:spacing w:line="400" w:lineRule="exact"/>
              <w:jc w:val="center"/>
              <w:rPr>
                <w:rFonts w:hint="eastAsia" w:ascii="方正仿宋_GB2312" w:hAnsi="方正仿宋_GB2312" w:eastAsia="方正仿宋_GB2312" w:cs="方正仿宋_GB2312"/>
                <w:bCs/>
                <w:color w:val="000000"/>
                <w:sz w:val="24"/>
                <w:szCs w:val="24"/>
                <w:highlight w:val="yellow"/>
              </w:rPr>
            </w:pPr>
            <w:r>
              <w:rPr>
                <w:rFonts w:hint="eastAsia" w:ascii="方正仿宋_GB2312" w:hAnsi="方正仿宋_GB2312" w:eastAsia="方正仿宋_GB2312" w:cs="方正仿宋_GB2312"/>
                <w:bCs/>
                <w:color w:val="000000"/>
                <w:sz w:val="24"/>
                <w:szCs w:val="24"/>
              </w:rPr>
              <w:t>排序2及之后</w:t>
            </w:r>
          </w:p>
        </w:tc>
        <w:tc>
          <w:tcPr>
            <w:tcW w:w="1356" w:type="dxa"/>
            <w:vAlign w:val="center"/>
          </w:tcPr>
          <w:p w14:paraId="0CE3427D">
            <w:pPr>
              <w:spacing w:line="400" w:lineRule="exact"/>
              <w:jc w:val="center"/>
              <w:rPr>
                <w:rFonts w:hint="eastAsia" w:ascii="方正仿宋_GB2312" w:hAnsi="方正仿宋_GB2312" w:eastAsia="方正仿宋_GB2312" w:cs="方正仿宋_GB2312"/>
                <w:bCs/>
                <w:color w:val="000000"/>
                <w:sz w:val="24"/>
                <w:szCs w:val="24"/>
                <w:highlight w:val="yellow"/>
              </w:rPr>
            </w:pPr>
            <w:r>
              <w:rPr>
                <w:rFonts w:hint="eastAsia" w:ascii="方正仿宋_GB2312" w:hAnsi="方正仿宋_GB2312" w:eastAsia="方正仿宋_GB2312" w:cs="方正仿宋_GB2312"/>
                <w:bCs/>
                <w:color w:val="000000"/>
                <w:sz w:val="24"/>
                <w:szCs w:val="24"/>
              </w:rPr>
              <w:t>0.05</w:t>
            </w:r>
          </w:p>
        </w:tc>
      </w:tr>
      <w:tr w14:paraId="7A2C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2E314814">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33A6ECA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“国创赛”“挑战杯”省赛最高等级奖</w:t>
            </w:r>
          </w:p>
        </w:tc>
        <w:tc>
          <w:tcPr>
            <w:tcW w:w="2265" w:type="dxa"/>
            <w:vAlign w:val="center"/>
          </w:tcPr>
          <w:p w14:paraId="25D17DC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70D36DE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0940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24786715">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3A17557D">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2C37737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排序2及之后</w:t>
            </w:r>
          </w:p>
        </w:tc>
        <w:tc>
          <w:tcPr>
            <w:tcW w:w="1356" w:type="dxa"/>
            <w:vAlign w:val="center"/>
          </w:tcPr>
          <w:p w14:paraId="6655EBB4">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0.1</w:t>
            </w:r>
          </w:p>
        </w:tc>
      </w:tr>
      <w:tr w14:paraId="1EB98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45CF35A">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7CF0784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“国创赛”“挑战杯”省赛次高等级奖</w:t>
            </w:r>
          </w:p>
        </w:tc>
        <w:tc>
          <w:tcPr>
            <w:tcW w:w="2265" w:type="dxa"/>
            <w:vAlign w:val="center"/>
          </w:tcPr>
          <w:p w14:paraId="3043C2B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3291CED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0.5</w:t>
            </w:r>
          </w:p>
        </w:tc>
      </w:tr>
      <w:tr w14:paraId="10A5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DCB560B">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0CB0D48B">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76D6853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排序2及之后</w:t>
            </w:r>
          </w:p>
        </w:tc>
        <w:tc>
          <w:tcPr>
            <w:tcW w:w="1356" w:type="dxa"/>
            <w:vAlign w:val="center"/>
          </w:tcPr>
          <w:p w14:paraId="1EC1ECC5">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0.05</w:t>
            </w:r>
          </w:p>
        </w:tc>
      </w:tr>
      <w:tr w14:paraId="48B8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271F4D37">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76E20CC5">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“国创赛”“挑战杯”省赛第三等级奖</w:t>
            </w:r>
          </w:p>
        </w:tc>
        <w:tc>
          <w:tcPr>
            <w:tcW w:w="2265" w:type="dxa"/>
            <w:vAlign w:val="center"/>
          </w:tcPr>
          <w:p w14:paraId="5910E0F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779275A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0.25</w:t>
            </w:r>
          </w:p>
        </w:tc>
      </w:tr>
      <w:tr w14:paraId="7DA3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70FB1A5D">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6C2F6236">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70D7985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排序2及之后</w:t>
            </w:r>
          </w:p>
        </w:tc>
        <w:tc>
          <w:tcPr>
            <w:tcW w:w="1356" w:type="dxa"/>
            <w:vAlign w:val="center"/>
          </w:tcPr>
          <w:p w14:paraId="19FC430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0.02</w:t>
            </w:r>
          </w:p>
        </w:tc>
      </w:tr>
      <w:tr w14:paraId="5335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2548987">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002CA9E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“国创赛”“挑战杯”省赛设特等奖时的三等奖</w:t>
            </w:r>
          </w:p>
        </w:tc>
        <w:tc>
          <w:tcPr>
            <w:tcW w:w="2265" w:type="dxa"/>
            <w:vAlign w:val="center"/>
          </w:tcPr>
          <w:p w14:paraId="4C7FD78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排序1</w:t>
            </w:r>
          </w:p>
        </w:tc>
        <w:tc>
          <w:tcPr>
            <w:tcW w:w="1356" w:type="dxa"/>
            <w:vAlign w:val="center"/>
          </w:tcPr>
          <w:p w14:paraId="5F7CD64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0.15</w:t>
            </w:r>
          </w:p>
        </w:tc>
      </w:tr>
      <w:tr w14:paraId="0617E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52032CC3">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5ED90310">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46576EEE">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排序2及之后</w:t>
            </w:r>
          </w:p>
        </w:tc>
        <w:tc>
          <w:tcPr>
            <w:tcW w:w="1356" w:type="dxa"/>
            <w:vAlign w:val="center"/>
          </w:tcPr>
          <w:p w14:paraId="23476C7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0.01</w:t>
            </w:r>
          </w:p>
        </w:tc>
      </w:tr>
      <w:tr w14:paraId="0AB7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5DCEE68F">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656FD19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文化艺术竞赛A级</w:t>
            </w:r>
          </w:p>
          <w:p w14:paraId="0DC87F4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（第一档）</w:t>
            </w:r>
          </w:p>
        </w:tc>
        <w:tc>
          <w:tcPr>
            <w:tcW w:w="2265" w:type="dxa"/>
            <w:vAlign w:val="center"/>
          </w:tcPr>
          <w:p w14:paraId="5FC8609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一等奖</w:t>
            </w:r>
          </w:p>
        </w:tc>
        <w:tc>
          <w:tcPr>
            <w:tcW w:w="1356" w:type="dxa"/>
            <w:vAlign w:val="center"/>
          </w:tcPr>
          <w:p w14:paraId="252EAD3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2.4</w:t>
            </w:r>
          </w:p>
        </w:tc>
      </w:tr>
      <w:tr w14:paraId="45C2E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29D29641">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0EDB0053">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02A8394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二等奖</w:t>
            </w:r>
          </w:p>
        </w:tc>
        <w:tc>
          <w:tcPr>
            <w:tcW w:w="1356" w:type="dxa"/>
            <w:vAlign w:val="center"/>
          </w:tcPr>
          <w:p w14:paraId="0AAA63C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1.2</w:t>
            </w:r>
          </w:p>
        </w:tc>
      </w:tr>
      <w:tr w14:paraId="6BBD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2255756">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4D946A10">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51B5D04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三等奖</w:t>
            </w:r>
          </w:p>
        </w:tc>
        <w:tc>
          <w:tcPr>
            <w:tcW w:w="1356" w:type="dxa"/>
            <w:vAlign w:val="center"/>
          </w:tcPr>
          <w:p w14:paraId="47037C1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0.6</w:t>
            </w:r>
          </w:p>
        </w:tc>
      </w:tr>
      <w:tr w14:paraId="4E31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1CA9366">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3385A61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文化艺术竞赛B级</w:t>
            </w:r>
          </w:p>
          <w:p w14:paraId="2940B73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（第二档）</w:t>
            </w:r>
          </w:p>
        </w:tc>
        <w:tc>
          <w:tcPr>
            <w:tcW w:w="2265" w:type="dxa"/>
            <w:vAlign w:val="center"/>
          </w:tcPr>
          <w:p w14:paraId="32C2699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一等奖</w:t>
            </w:r>
          </w:p>
        </w:tc>
        <w:tc>
          <w:tcPr>
            <w:tcW w:w="1356" w:type="dxa"/>
            <w:vAlign w:val="center"/>
          </w:tcPr>
          <w:p w14:paraId="6758A15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209D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56190ED4">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1A5AC9B0">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27F8234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二等奖</w:t>
            </w:r>
          </w:p>
        </w:tc>
        <w:tc>
          <w:tcPr>
            <w:tcW w:w="1356" w:type="dxa"/>
            <w:vAlign w:val="center"/>
          </w:tcPr>
          <w:p w14:paraId="756E396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0.6</w:t>
            </w:r>
          </w:p>
        </w:tc>
      </w:tr>
      <w:tr w14:paraId="70F5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6AFF338">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07129F7D">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707D205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三等奖</w:t>
            </w:r>
          </w:p>
        </w:tc>
        <w:tc>
          <w:tcPr>
            <w:tcW w:w="1356" w:type="dxa"/>
            <w:vAlign w:val="center"/>
          </w:tcPr>
          <w:p w14:paraId="0B4F016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0.3</w:t>
            </w:r>
          </w:p>
        </w:tc>
      </w:tr>
      <w:tr w14:paraId="6D5E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15F03D97">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3C7781D4">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体育竞赛T1级</w:t>
            </w:r>
          </w:p>
        </w:tc>
        <w:tc>
          <w:tcPr>
            <w:tcW w:w="2265" w:type="dxa"/>
            <w:vAlign w:val="center"/>
          </w:tcPr>
          <w:p w14:paraId="4FBC6FC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一等奖</w:t>
            </w:r>
          </w:p>
        </w:tc>
        <w:tc>
          <w:tcPr>
            <w:tcW w:w="1356" w:type="dxa"/>
            <w:vAlign w:val="center"/>
          </w:tcPr>
          <w:p w14:paraId="0B19870E">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3</w:t>
            </w:r>
          </w:p>
        </w:tc>
      </w:tr>
      <w:tr w14:paraId="4BD5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C214E3B">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54C31728">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5B5C3EC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二等奖</w:t>
            </w:r>
          </w:p>
        </w:tc>
        <w:tc>
          <w:tcPr>
            <w:tcW w:w="1356" w:type="dxa"/>
            <w:vAlign w:val="center"/>
          </w:tcPr>
          <w:p w14:paraId="7CE0818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2</w:t>
            </w:r>
          </w:p>
        </w:tc>
      </w:tr>
      <w:tr w14:paraId="4ACA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7B91359">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42283837">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1C016BA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三等奖</w:t>
            </w:r>
          </w:p>
        </w:tc>
        <w:tc>
          <w:tcPr>
            <w:tcW w:w="1356" w:type="dxa"/>
            <w:vAlign w:val="center"/>
          </w:tcPr>
          <w:p w14:paraId="7D8AA43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3DC3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AF4EF6C">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3191DA5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体育竞赛T2级</w:t>
            </w:r>
          </w:p>
        </w:tc>
        <w:tc>
          <w:tcPr>
            <w:tcW w:w="2265" w:type="dxa"/>
            <w:vAlign w:val="center"/>
          </w:tcPr>
          <w:p w14:paraId="4372798C">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一等奖</w:t>
            </w:r>
          </w:p>
        </w:tc>
        <w:tc>
          <w:tcPr>
            <w:tcW w:w="1356" w:type="dxa"/>
            <w:vAlign w:val="center"/>
          </w:tcPr>
          <w:p w14:paraId="19ADDB4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2</w:t>
            </w:r>
          </w:p>
        </w:tc>
      </w:tr>
      <w:tr w14:paraId="4BB8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36145BA">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45BCA3BF">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70E2B28C">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二等奖</w:t>
            </w:r>
          </w:p>
        </w:tc>
        <w:tc>
          <w:tcPr>
            <w:tcW w:w="1356" w:type="dxa"/>
            <w:vAlign w:val="center"/>
          </w:tcPr>
          <w:p w14:paraId="43E88EBC">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5AA9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25692E5">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4E4E0261">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21BE1D0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三等奖</w:t>
            </w:r>
          </w:p>
        </w:tc>
        <w:tc>
          <w:tcPr>
            <w:tcW w:w="1356" w:type="dxa"/>
            <w:vAlign w:val="center"/>
          </w:tcPr>
          <w:p w14:paraId="156B911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0.5</w:t>
            </w:r>
          </w:p>
        </w:tc>
      </w:tr>
      <w:tr w14:paraId="5654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283C1939">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24A06EE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体育竞赛AⅠ级</w:t>
            </w:r>
          </w:p>
        </w:tc>
        <w:tc>
          <w:tcPr>
            <w:tcW w:w="2265" w:type="dxa"/>
            <w:vAlign w:val="center"/>
          </w:tcPr>
          <w:p w14:paraId="39CB93E5">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一等奖</w:t>
            </w:r>
          </w:p>
        </w:tc>
        <w:tc>
          <w:tcPr>
            <w:tcW w:w="1356" w:type="dxa"/>
            <w:vAlign w:val="center"/>
          </w:tcPr>
          <w:p w14:paraId="51F59B5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0.8</w:t>
            </w:r>
          </w:p>
        </w:tc>
      </w:tr>
      <w:tr w14:paraId="131C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287679A">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1F9E2EE7">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127A10F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二等奖</w:t>
            </w:r>
          </w:p>
        </w:tc>
        <w:tc>
          <w:tcPr>
            <w:tcW w:w="1356" w:type="dxa"/>
            <w:vAlign w:val="center"/>
          </w:tcPr>
          <w:p w14:paraId="6FEA85C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0.5</w:t>
            </w:r>
          </w:p>
        </w:tc>
      </w:tr>
      <w:tr w14:paraId="0773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12E5EF6">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2AFDD8A3">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676CB3D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三等奖</w:t>
            </w:r>
          </w:p>
        </w:tc>
        <w:tc>
          <w:tcPr>
            <w:tcW w:w="1356" w:type="dxa"/>
            <w:vAlign w:val="center"/>
          </w:tcPr>
          <w:p w14:paraId="503B212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0.2</w:t>
            </w:r>
          </w:p>
        </w:tc>
      </w:tr>
      <w:tr w14:paraId="5088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0262E876">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277CB9C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体育竞赛AⅡ级</w:t>
            </w:r>
          </w:p>
          <w:p w14:paraId="76EFE90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及BⅠ级</w:t>
            </w:r>
          </w:p>
        </w:tc>
        <w:tc>
          <w:tcPr>
            <w:tcW w:w="2265" w:type="dxa"/>
            <w:vAlign w:val="center"/>
          </w:tcPr>
          <w:p w14:paraId="6CCA907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一等奖</w:t>
            </w:r>
          </w:p>
        </w:tc>
        <w:tc>
          <w:tcPr>
            <w:tcW w:w="1356" w:type="dxa"/>
            <w:vAlign w:val="center"/>
          </w:tcPr>
          <w:p w14:paraId="3214518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0.4</w:t>
            </w:r>
          </w:p>
        </w:tc>
      </w:tr>
      <w:tr w14:paraId="44246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2C0C011A">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63931B3C">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1D88B00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二等奖</w:t>
            </w:r>
          </w:p>
        </w:tc>
        <w:tc>
          <w:tcPr>
            <w:tcW w:w="1356" w:type="dxa"/>
            <w:vAlign w:val="center"/>
          </w:tcPr>
          <w:p w14:paraId="1FD4DCB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0.25</w:t>
            </w:r>
          </w:p>
        </w:tc>
      </w:tr>
      <w:tr w14:paraId="04B99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4A3FE21">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625917E5">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0EF6993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三等奖</w:t>
            </w:r>
          </w:p>
        </w:tc>
        <w:tc>
          <w:tcPr>
            <w:tcW w:w="1356" w:type="dxa"/>
            <w:vAlign w:val="center"/>
          </w:tcPr>
          <w:p w14:paraId="2560917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0.1</w:t>
            </w:r>
          </w:p>
        </w:tc>
      </w:tr>
      <w:tr w14:paraId="0332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5E9C4DAA">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restart"/>
            <w:vAlign w:val="center"/>
          </w:tcPr>
          <w:p w14:paraId="2D5C51B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体育竞赛BⅡ级</w:t>
            </w:r>
          </w:p>
        </w:tc>
        <w:tc>
          <w:tcPr>
            <w:tcW w:w="2265" w:type="dxa"/>
            <w:vAlign w:val="center"/>
          </w:tcPr>
          <w:p w14:paraId="49B6D27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一等奖</w:t>
            </w:r>
          </w:p>
        </w:tc>
        <w:tc>
          <w:tcPr>
            <w:tcW w:w="1356" w:type="dxa"/>
            <w:vAlign w:val="center"/>
          </w:tcPr>
          <w:p w14:paraId="05B4C69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0.2</w:t>
            </w:r>
          </w:p>
        </w:tc>
      </w:tr>
      <w:tr w14:paraId="3507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45D99BB3">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4837004A">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0112F4B2">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二等奖</w:t>
            </w:r>
          </w:p>
        </w:tc>
        <w:tc>
          <w:tcPr>
            <w:tcW w:w="1356" w:type="dxa"/>
            <w:vAlign w:val="center"/>
          </w:tcPr>
          <w:p w14:paraId="4F42140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0.13</w:t>
            </w:r>
          </w:p>
        </w:tc>
      </w:tr>
      <w:tr w14:paraId="34EC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6" w:type="dxa"/>
            <w:vMerge w:val="continue"/>
            <w:vAlign w:val="center"/>
          </w:tcPr>
          <w:p w14:paraId="6AE41D6C">
            <w:pPr>
              <w:spacing w:line="400" w:lineRule="exact"/>
              <w:jc w:val="center"/>
              <w:rPr>
                <w:rFonts w:hint="eastAsia" w:ascii="方正仿宋_GB2312" w:hAnsi="方正仿宋_GB2312" w:eastAsia="方正仿宋_GB2312" w:cs="方正仿宋_GB2312"/>
                <w:bCs/>
                <w:color w:val="000000"/>
                <w:sz w:val="24"/>
                <w:szCs w:val="24"/>
              </w:rPr>
            </w:pPr>
          </w:p>
        </w:tc>
        <w:tc>
          <w:tcPr>
            <w:tcW w:w="3603" w:type="dxa"/>
            <w:vMerge w:val="continue"/>
            <w:vAlign w:val="center"/>
          </w:tcPr>
          <w:p w14:paraId="4C49A781">
            <w:pPr>
              <w:spacing w:line="400" w:lineRule="exact"/>
              <w:jc w:val="center"/>
              <w:rPr>
                <w:rFonts w:hint="eastAsia" w:ascii="方正仿宋_GB2312" w:hAnsi="方正仿宋_GB2312" w:eastAsia="方正仿宋_GB2312" w:cs="方正仿宋_GB2312"/>
                <w:bCs/>
                <w:color w:val="000000"/>
                <w:sz w:val="24"/>
                <w:szCs w:val="24"/>
              </w:rPr>
            </w:pPr>
          </w:p>
        </w:tc>
        <w:tc>
          <w:tcPr>
            <w:tcW w:w="2265" w:type="dxa"/>
            <w:vAlign w:val="center"/>
          </w:tcPr>
          <w:p w14:paraId="40ABCFA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三等奖</w:t>
            </w:r>
          </w:p>
        </w:tc>
        <w:tc>
          <w:tcPr>
            <w:tcW w:w="1356" w:type="dxa"/>
            <w:vAlign w:val="center"/>
          </w:tcPr>
          <w:p w14:paraId="1A4A7165">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0.05</w:t>
            </w:r>
          </w:p>
        </w:tc>
      </w:tr>
    </w:tbl>
    <w:p w14:paraId="010720F3">
      <w:pPr>
        <w:spacing w:line="560" w:lineRule="exact"/>
        <w:jc w:val="left"/>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
          <w:color w:val="000000"/>
          <w:sz w:val="32"/>
          <w:szCs w:val="32"/>
        </w:rPr>
        <w:t>说明</w:t>
      </w:r>
      <w:r>
        <w:rPr>
          <w:rFonts w:hint="eastAsia" w:ascii="方正仿宋_GB2312" w:hAnsi="方正仿宋_GB2312" w:eastAsia="方正仿宋_GB2312" w:cs="方正仿宋_GB2312"/>
          <w:bCs/>
          <w:color w:val="000000"/>
          <w:sz w:val="32"/>
          <w:szCs w:val="32"/>
        </w:rPr>
        <w:t>：</w:t>
      </w:r>
    </w:p>
    <w:p w14:paraId="0987BB36">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1.</w:t>
      </w:r>
      <w:r>
        <w:rPr>
          <w:rFonts w:hint="eastAsia" w:ascii="方正仿宋_GB2312" w:hAnsi="方正仿宋_GB2312" w:eastAsia="方正仿宋_GB2312" w:cs="方正仿宋_GB2312"/>
          <w:sz w:val="32"/>
          <w:szCs w:val="32"/>
        </w:rPr>
        <w:t>以上有关</w:t>
      </w:r>
      <w:r>
        <w:rPr>
          <w:rFonts w:hint="eastAsia" w:ascii="方正仿宋_GB2312" w:hAnsi="方正仿宋_GB2312" w:eastAsia="方正仿宋_GB2312" w:cs="方正仿宋_GB2312"/>
          <w:bCs/>
          <w:color w:val="000000"/>
          <w:sz w:val="32"/>
          <w:szCs w:val="32"/>
        </w:rPr>
        <w:t>成果，论文以校图书馆检索报告为依据，知识产权以证书为依据，学科竞赛以获奖证书、官方文件或官网公开为依据（公示除外）。有关成果</w:t>
      </w:r>
      <w:r>
        <w:rPr>
          <w:rFonts w:hint="eastAsia" w:ascii="方正仿宋_GB2312" w:hAnsi="方正仿宋_GB2312" w:eastAsia="方正仿宋_GB2312" w:cs="方正仿宋_GB2312"/>
          <w:sz w:val="32"/>
          <w:szCs w:val="32"/>
        </w:rPr>
        <w:t>须准备原始的论文实验记录、论文初稿、论文投稿及修改等过程材料，或者学科竞赛的报名材料、加工制作清单、计算机程序、实验数据等过程材料备查。</w:t>
      </w:r>
    </w:p>
    <w:p w14:paraId="3725AB2F">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2.“竞赛名录”是《华南农业大学学生竞赛奖励办法》（华南农办〔2022〕38号）中所指“教育部中国高等教育学会每年公布的全国普通高校常设性大学生科技竞赛、中国学位与研究生教育学会公布的研究生创新实践系列大赛、广东省本科高校大学生十大学科竞赛列出的竞赛名录”。</w:t>
      </w:r>
    </w:p>
    <w:p w14:paraId="3B2501A1">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3.学生竞赛仅设名次的各类竞赛计分标准：第1名按最高等级奖标准执行，2至3名按次高等级奖标准执行，4至6名按第三等级奖标准执行；仅设奖项名称的各类竞赛计分标准：第一排序奖项按最高等级奖标准执行，第二排序奖项按次高等级奖标准执行，第三排序奖项按第三等级奖标准执行。</w:t>
      </w:r>
    </w:p>
    <w:p w14:paraId="67151146">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sz w:val="32"/>
          <w:szCs w:val="32"/>
        </w:rPr>
        <w:t>4.本细则“国创赛”指中国国际大学生创新大赛（含2023年12月前的中国国际“互联网+”大学生创新创业大赛）简称；“挑战杯”指“挑战杯”大学生课外学术科技作品竞赛以及“挑战杯”大学生创业计划竞赛。</w:t>
      </w:r>
    </w:p>
    <w:p w14:paraId="15BC4DAA">
      <w:pPr>
        <w:widowControl/>
        <w:spacing w:line="50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Cs/>
          <w:color w:val="000000"/>
          <w:sz w:val="32"/>
          <w:szCs w:val="32"/>
        </w:rPr>
        <w:t>5.</w:t>
      </w:r>
      <w:r>
        <w:rPr>
          <w:rFonts w:hint="eastAsia" w:ascii="方正仿宋_GB2312" w:hAnsi="方正仿宋_GB2312" w:eastAsia="方正仿宋_GB2312" w:cs="方正仿宋_GB2312"/>
          <w:sz w:val="32"/>
          <w:szCs w:val="32"/>
        </w:rPr>
        <w:t>国际基因工程机器大赛（International Genetically Engineered Machine Competition，简称为IGEM）按照本《华南农业大学学生竞赛奖励办法》（华南农办〔2022〕38号）界定名录下其他科技竞赛标准执行。</w:t>
      </w:r>
    </w:p>
    <w:p w14:paraId="73FC33DE">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6.竞赛名录以外权威的国家级行业学会主办的有显著社会影响的各类学科竞赛和教育部有关教学指导委员会主办的常设性大学生学科竞赛按照“‘国创赛’‘挑战杯’”省赛标准计分；竞赛名录以外的国际赛事，计分由学院专家审核小组审定。</w:t>
      </w:r>
    </w:p>
    <w:p w14:paraId="2D5EC5EF">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7.学术论文、知识产权同一成果以获得的最高分值计分一次；学生竞赛同一赛事以获得的最高奖项计分一次，不同年份的赛事以及竞赛名录列明的分赛事按不同赛事执行。</w:t>
      </w:r>
    </w:p>
    <w:p w14:paraId="27DC2616">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8.中央和国家机关各部门及其直属机构主办的常设性文化艺术竞赛活动按第一档的竞赛计分。中央和国家机关各部门及其直属机构的内设机构、广东省直机关及其直属机构主办的常设性文化艺术竞赛活动按第二档的竞赛计分。</w:t>
      </w:r>
    </w:p>
    <w:p w14:paraId="43ADDFAD">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9.体育竞赛按照《华南农业大学学生竞赛奖励办法》（华南农办〔2022〕38号）分级管理，个人项目获奖按标准计分，团体项目按标准1/2计分，集体项目按标准1/3计分（其中篮球、足球、排球三个项目按标准1/7计分）。</w:t>
      </w:r>
    </w:p>
    <w:p w14:paraId="006AC6D8">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10.学科竞赛和文化艺术竞赛个人项目按标准最高计分；学科竞赛团队项目成员有既定排序（获奖证书或者报名表可作为排序依据）的按标准计分，成员没有既定排序的学科竞赛和文化艺术竞赛，成员计分取按上表标准以及团队人数计算团队应得总分的平均值。个人项目或团队项目以获奖成果（作品）的实际构成为准；无法确定为个人项目或者无法确定团队成员的不计分。</w:t>
      </w:r>
    </w:p>
    <w:p w14:paraId="37C6D167">
      <w:pPr>
        <w:spacing w:line="560" w:lineRule="exact"/>
        <w:rPr>
          <w:rFonts w:hint="eastAsia" w:ascii="方正仿宋_GB2312" w:hAnsi="方正仿宋_GB2312" w:eastAsia="方正仿宋_GB2312" w:cs="方正仿宋_GB2312"/>
          <w:bCs/>
          <w:color w:val="000000"/>
          <w:sz w:val="32"/>
          <w:szCs w:val="32"/>
        </w:rPr>
      </w:pPr>
    </w:p>
    <w:p w14:paraId="1B5AFB87">
      <w:pPr>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（四）发展素养评价（5分）</w:t>
      </w: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9"/>
        <w:gridCol w:w="4873"/>
        <w:gridCol w:w="1287"/>
        <w:gridCol w:w="701"/>
      </w:tblGrid>
      <w:tr w14:paraId="6B30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Align w:val="center"/>
          </w:tcPr>
          <w:p w14:paraId="0C70203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类别/总分</w:t>
            </w:r>
          </w:p>
        </w:tc>
        <w:tc>
          <w:tcPr>
            <w:tcW w:w="4873" w:type="dxa"/>
            <w:vAlign w:val="center"/>
          </w:tcPr>
          <w:p w14:paraId="4490CFD6">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项目</w:t>
            </w:r>
          </w:p>
        </w:tc>
        <w:tc>
          <w:tcPr>
            <w:tcW w:w="1287" w:type="dxa"/>
            <w:vAlign w:val="center"/>
          </w:tcPr>
          <w:p w14:paraId="02820B84">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级别</w:t>
            </w:r>
          </w:p>
        </w:tc>
        <w:tc>
          <w:tcPr>
            <w:tcW w:w="701" w:type="dxa"/>
            <w:vAlign w:val="center"/>
          </w:tcPr>
          <w:p w14:paraId="52007CC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计分</w:t>
            </w:r>
          </w:p>
          <w:p w14:paraId="77BEBB9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标准</w:t>
            </w:r>
          </w:p>
        </w:tc>
      </w:tr>
      <w:tr w14:paraId="260ED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Merge w:val="restart"/>
            <w:vAlign w:val="center"/>
          </w:tcPr>
          <w:p w14:paraId="4A2FBE6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1.参军入伍服兵役</w:t>
            </w:r>
          </w:p>
          <w:p w14:paraId="24A8755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（满分2分）</w:t>
            </w:r>
          </w:p>
        </w:tc>
        <w:tc>
          <w:tcPr>
            <w:tcW w:w="4873" w:type="dxa"/>
            <w:vAlign w:val="center"/>
          </w:tcPr>
          <w:p w14:paraId="6DA9A6F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完成服役</w:t>
            </w:r>
          </w:p>
        </w:tc>
        <w:tc>
          <w:tcPr>
            <w:tcW w:w="1287" w:type="dxa"/>
            <w:vAlign w:val="center"/>
          </w:tcPr>
          <w:p w14:paraId="2076A22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w:t>
            </w:r>
          </w:p>
        </w:tc>
        <w:tc>
          <w:tcPr>
            <w:tcW w:w="701" w:type="dxa"/>
            <w:vAlign w:val="center"/>
          </w:tcPr>
          <w:p w14:paraId="02377EF9">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2</w:t>
            </w:r>
          </w:p>
        </w:tc>
      </w:tr>
      <w:tr w14:paraId="2674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Merge w:val="continue"/>
            <w:vAlign w:val="center"/>
          </w:tcPr>
          <w:p w14:paraId="2170FB79">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Align w:val="center"/>
          </w:tcPr>
          <w:p w14:paraId="066C1B5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经初审初检确定为预征对象</w:t>
            </w:r>
          </w:p>
        </w:tc>
        <w:tc>
          <w:tcPr>
            <w:tcW w:w="1287" w:type="dxa"/>
            <w:vAlign w:val="center"/>
          </w:tcPr>
          <w:p w14:paraId="7C62806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w:t>
            </w:r>
          </w:p>
        </w:tc>
        <w:tc>
          <w:tcPr>
            <w:tcW w:w="701" w:type="dxa"/>
            <w:vAlign w:val="center"/>
          </w:tcPr>
          <w:p w14:paraId="69E58D9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0.5</w:t>
            </w:r>
          </w:p>
        </w:tc>
      </w:tr>
      <w:tr w14:paraId="099E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199" w:type="dxa"/>
            <w:vMerge w:val="restart"/>
            <w:vAlign w:val="center"/>
          </w:tcPr>
          <w:p w14:paraId="6DF0E51A">
            <w:pPr>
              <w:spacing w:line="336"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2.学生工作</w:t>
            </w:r>
          </w:p>
          <w:p w14:paraId="4D91F70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（完成一届工作，每年度只计算最高级别的1项，满分1.6分）</w:t>
            </w:r>
          </w:p>
        </w:tc>
        <w:tc>
          <w:tcPr>
            <w:tcW w:w="4873" w:type="dxa"/>
            <w:vAlign w:val="center"/>
          </w:tcPr>
          <w:p w14:paraId="73BEA6A0">
            <w:pPr>
              <w:spacing w:line="38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①国际组织实习生、学校公派赴境外学习交流生；学校学生会、团委主席团成员；学院学生会、团委、学生发展中心主席团成员；助理班主任；党支部副书记</w:t>
            </w:r>
          </w:p>
        </w:tc>
        <w:tc>
          <w:tcPr>
            <w:tcW w:w="1287" w:type="dxa"/>
            <w:vAlign w:val="center"/>
          </w:tcPr>
          <w:p w14:paraId="740B3538">
            <w:pPr>
              <w:spacing w:line="24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sz w:val="24"/>
                <w:szCs w:val="24"/>
              </w:rPr>
              <w:t>——</w:t>
            </w:r>
          </w:p>
        </w:tc>
        <w:tc>
          <w:tcPr>
            <w:tcW w:w="701" w:type="dxa"/>
            <w:vAlign w:val="center"/>
          </w:tcPr>
          <w:p w14:paraId="6D05912A">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0298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2199" w:type="dxa"/>
            <w:vMerge w:val="continue"/>
            <w:vAlign w:val="center"/>
          </w:tcPr>
          <w:p w14:paraId="2F22417B">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Align w:val="center"/>
          </w:tcPr>
          <w:p w14:paraId="5036E9F1">
            <w:pPr>
              <w:spacing w:line="38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②学校学生会、团委工作部门主要负责人；学院学生会、团委、学生发展中心工作部门主要负责人；党建工作中心、新媒体中心、易班工作室、职业发展中心、科技联合会、奖助中心、心灵家园、学生教学信息委员会主席团成员；支部委员；军训教官团副团长、大队长、副大队长、大队副教导员</w:t>
            </w:r>
          </w:p>
        </w:tc>
        <w:tc>
          <w:tcPr>
            <w:tcW w:w="1287" w:type="dxa"/>
            <w:vAlign w:val="center"/>
          </w:tcPr>
          <w:p w14:paraId="65B9AFB8">
            <w:pPr>
              <w:spacing w:line="24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sz w:val="24"/>
                <w:szCs w:val="24"/>
              </w:rPr>
              <w:t>——</w:t>
            </w:r>
          </w:p>
        </w:tc>
        <w:tc>
          <w:tcPr>
            <w:tcW w:w="701" w:type="dxa"/>
            <w:vAlign w:val="center"/>
          </w:tcPr>
          <w:p w14:paraId="1F9718A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0.8</w:t>
            </w:r>
          </w:p>
        </w:tc>
      </w:tr>
      <w:tr w14:paraId="13AA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Merge w:val="continue"/>
            <w:vAlign w:val="center"/>
          </w:tcPr>
          <w:p w14:paraId="3E503DDE">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Align w:val="center"/>
          </w:tcPr>
          <w:p w14:paraId="2762458B">
            <w:pPr>
              <w:spacing w:line="38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③班长、团支书；级委；党建工作中心、新媒体中心、易班工作室、职业发展中心、科技联合会、奖助中心、心灵家园工作、学生教学信息委员会等二级组织部门负责人；军训教官团中队长、副中队、中队副指导员</w:t>
            </w:r>
          </w:p>
        </w:tc>
        <w:tc>
          <w:tcPr>
            <w:tcW w:w="1287" w:type="dxa"/>
            <w:vAlign w:val="center"/>
          </w:tcPr>
          <w:p w14:paraId="0012B274">
            <w:pPr>
              <w:spacing w:line="240"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Cs/>
                <w:color w:val="000000"/>
                <w:sz w:val="24"/>
                <w:szCs w:val="24"/>
              </w:rPr>
              <w:t>——</w:t>
            </w:r>
          </w:p>
        </w:tc>
        <w:tc>
          <w:tcPr>
            <w:tcW w:w="701" w:type="dxa"/>
            <w:vAlign w:val="center"/>
          </w:tcPr>
          <w:p w14:paraId="6854AE2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0.6</w:t>
            </w:r>
          </w:p>
        </w:tc>
      </w:tr>
      <w:tr w14:paraId="5F11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Merge w:val="continue"/>
            <w:vAlign w:val="center"/>
          </w:tcPr>
          <w:p w14:paraId="00A2530C">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Align w:val="center"/>
          </w:tcPr>
          <w:p w14:paraId="6E5892E7">
            <w:pPr>
              <w:spacing w:line="38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④军训教官团普通成员；校级院级组织干事</w:t>
            </w:r>
          </w:p>
        </w:tc>
        <w:tc>
          <w:tcPr>
            <w:tcW w:w="1287" w:type="dxa"/>
            <w:vAlign w:val="center"/>
          </w:tcPr>
          <w:p w14:paraId="570893D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w:t>
            </w:r>
          </w:p>
        </w:tc>
        <w:tc>
          <w:tcPr>
            <w:tcW w:w="701" w:type="dxa"/>
            <w:vAlign w:val="center"/>
          </w:tcPr>
          <w:p w14:paraId="7F1B8D84">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0.4</w:t>
            </w:r>
          </w:p>
        </w:tc>
      </w:tr>
      <w:tr w14:paraId="5737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Merge w:val="continue"/>
            <w:vAlign w:val="center"/>
          </w:tcPr>
          <w:p w14:paraId="5DD27603">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Align w:val="center"/>
          </w:tcPr>
          <w:p w14:paraId="6E06368A">
            <w:pPr>
              <w:spacing w:line="38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⑤班委；宿舍长（遴选小组认定表现突出）</w:t>
            </w:r>
          </w:p>
        </w:tc>
        <w:tc>
          <w:tcPr>
            <w:tcW w:w="1287" w:type="dxa"/>
            <w:vAlign w:val="center"/>
          </w:tcPr>
          <w:p w14:paraId="7F674A15">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w:t>
            </w:r>
          </w:p>
        </w:tc>
        <w:tc>
          <w:tcPr>
            <w:tcW w:w="701" w:type="dxa"/>
            <w:vAlign w:val="center"/>
          </w:tcPr>
          <w:p w14:paraId="389214DF">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0.2</w:t>
            </w:r>
          </w:p>
        </w:tc>
      </w:tr>
      <w:tr w14:paraId="0934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Merge w:val="restart"/>
            <w:vAlign w:val="center"/>
          </w:tcPr>
          <w:p w14:paraId="2AD0886B">
            <w:pPr>
              <w:spacing w:line="4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3.荣誉称号</w:t>
            </w:r>
          </w:p>
          <w:p w14:paraId="1D0E4B3D">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（满分1分）</w:t>
            </w:r>
          </w:p>
        </w:tc>
        <w:tc>
          <w:tcPr>
            <w:tcW w:w="4873" w:type="dxa"/>
            <w:vMerge w:val="restart"/>
            <w:vAlign w:val="center"/>
          </w:tcPr>
          <w:p w14:paraId="486918E2">
            <w:pPr>
              <w:spacing w:line="38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①优秀共产党员、优秀团干、优秀团员、优秀学生干部、志愿服务、“三下乡”、社会服务、模范引领计划（标兵）、党团代表等荣誉</w:t>
            </w:r>
          </w:p>
        </w:tc>
        <w:tc>
          <w:tcPr>
            <w:tcW w:w="1287" w:type="dxa"/>
            <w:vAlign w:val="center"/>
          </w:tcPr>
          <w:p w14:paraId="02EC7903">
            <w:pPr>
              <w:spacing w:line="336"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国家级</w:t>
            </w:r>
          </w:p>
        </w:tc>
        <w:tc>
          <w:tcPr>
            <w:tcW w:w="701" w:type="dxa"/>
            <w:vAlign w:val="center"/>
          </w:tcPr>
          <w:p w14:paraId="44EB1293">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0CAB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Merge w:val="continue"/>
            <w:vAlign w:val="center"/>
          </w:tcPr>
          <w:p w14:paraId="3AF4B2D8">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Merge w:val="continue"/>
            <w:vAlign w:val="center"/>
          </w:tcPr>
          <w:p w14:paraId="587DED65">
            <w:pPr>
              <w:spacing w:line="380" w:lineRule="exact"/>
              <w:jc w:val="center"/>
              <w:rPr>
                <w:rFonts w:hint="eastAsia" w:ascii="方正仿宋_GB2312" w:hAnsi="方正仿宋_GB2312" w:eastAsia="方正仿宋_GB2312" w:cs="方正仿宋_GB2312"/>
                <w:bCs/>
                <w:color w:val="000000"/>
                <w:sz w:val="24"/>
                <w:szCs w:val="24"/>
              </w:rPr>
            </w:pPr>
          </w:p>
        </w:tc>
        <w:tc>
          <w:tcPr>
            <w:tcW w:w="1287" w:type="dxa"/>
            <w:vAlign w:val="center"/>
          </w:tcPr>
          <w:p w14:paraId="72092F3A">
            <w:pPr>
              <w:spacing w:line="336"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省部级</w:t>
            </w:r>
          </w:p>
        </w:tc>
        <w:tc>
          <w:tcPr>
            <w:tcW w:w="701" w:type="dxa"/>
            <w:vAlign w:val="center"/>
          </w:tcPr>
          <w:p w14:paraId="6565C7B8">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0.8</w:t>
            </w:r>
          </w:p>
        </w:tc>
      </w:tr>
      <w:tr w14:paraId="68BA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199" w:type="dxa"/>
            <w:vMerge w:val="continue"/>
            <w:vAlign w:val="center"/>
          </w:tcPr>
          <w:p w14:paraId="33873CAD">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Merge w:val="continue"/>
            <w:vAlign w:val="center"/>
          </w:tcPr>
          <w:p w14:paraId="662F942F">
            <w:pPr>
              <w:spacing w:line="380" w:lineRule="exact"/>
              <w:jc w:val="center"/>
              <w:rPr>
                <w:rFonts w:hint="eastAsia" w:ascii="方正仿宋_GB2312" w:hAnsi="方正仿宋_GB2312" w:eastAsia="方正仿宋_GB2312" w:cs="方正仿宋_GB2312"/>
                <w:bCs/>
                <w:color w:val="000000"/>
                <w:sz w:val="24"/>
                <w:szCs w:val="24"/>
              </w:rPr>
            </w:pPr>
          </w:p>
        </w:tc>
        <w:tc>
          <w:tcPr>
            <w:tcW w:w="1287" w:type="dxa"/>
            <w:vAlign w:val="center"/>
          </w:tcPr>
          <w:p w14:paraId="4A54B906">
            <w:pPr>
              <w:spacing w:line="336"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市、校级</w:t>
            </w:r>
          </w:p>
        </w:tc>
        <w:tc>
          <w:tcPr>
            <w:tcW w:w="701" w:type="dxa"/>
            <w:vAlign w:val="center"/>
          </w:tcPr>
          <w:p w14:paraId="2F4AEEE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0.6</w:t>
            </w:r>
          </w:p>
        </w:tc>
      </w:tr>
      <w:tr w14:paraId="0C2F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Merge w:val="continue"/>
            <w:vAlign w:val="center"/>
          </w:tcPr>
          <w:p w14:paraId="63C0B3C3">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Merge w:val="restart"/>
            <w:vAlign w:val="center"/>
          </w:tcPr>
          <w:p w14:paraId="72BD3C11">
            <w:pPr>
              <w:spacing w:line="38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sz w:val="24"/>
                <w:szCs w:val="24"/>
              </w:rPr>
              <w:t>②在见义勇为、帮弱扶残等方面受到表彰或通报表扬；或在军训、阳光体育、易班等反映学生德智体美劳全面发展的评选活动中获先进个人（集体）、积极分子（集体）等称号</w:t>
            </w:r>
          </w:p>
        </w:tc>
        <w:tc>
          <w:tcPr>
            <w:tcW w:w="1287" w:type="dxa"/>
            <w:vAlign w:val="center"/>
          </w:tcPr>
          <w:p w14:paraId="60B65E85">
            <w:pPr>
              <w:spacing w:line="336"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国家级</w:t>
            </w:r>
          </w:p>
        </w:tc>
        <w:tc>
          <w:tcPr>
            <w:tcW w:w="701" w:type="dxa"/>
            <w:vAlign w:val="center"/>
          </w:tcPr>
          <w:p w14:paraId="4F550861">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1</w:t>
            </w:r>
          </w:p>
        </w:tc>
      </w:tr>
      <w:tr w14:paraId="4DC5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Merge w:val="continue"/>
            <w:vAlign w:val="center"/>
          </w:tcPr>
          <w:p w14:paraId="0F73D804">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Merge w:val="continue"/>
            <w:vAlign w:val="center"/>
          </w:tcPr>
          <w:p w14:paraId="6A32C959">
            <w:pPr>
              <w:spacing w:line="380" w:lineRule="exact"/>
              <w:jc w:val="center"/>
              <w:rPr>
                <w:rFonts w:hint="eastAsia" w:ascii="方正仿宋_GB2312" w:hAnsi="方正仿宋_GB2312" w:eastAsia="方正仿宋_GB2312" w:cs="方正仿宋_GB2312"/>
                <w:bCs/>
                <w:color w:val="000000"/>
                <w:sz w:val="24"/>
                <w:szCs w:val="24"/>
              </w:rPr>
            </w:pPr>
          </w:p>
        </w:tc>
        <w:tc>
          <w:tcPr>
            <w:tcW w:w="1287" w:type="dxa"/>
            <w:vAlign w:val="center"/>
          </w:tcPr>
          <w:p w14:paraId="39634881">
            <w:pPr>
              <w:spacing w:line="336"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省部级</w:t>
            </w:r>
          </w:p>
        </w:tc>
        <w:tc>
          <w:tcPr>
            <w:tcW w:w="701" w:type="dxa"/>
            <w:vAlign w:val="center"/>
          </w:tcPr>
          <w:p w14:paraId="30E1494B">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0.6</w:t>
            </w:r>
          </w:p>
        </w:tc>
      </w:tr>
      <w:tr w14:paraId="74486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199" w:type="dxa"/>
            <w:vMerge w:val="continue"/>
            <w:vAlign w:val="center"/>
          </w:tcPr>
          <w:p w14:paraId="2CD479C6">
            <w:pPr>
              <w:spacing w:line="400" w:lineRule="exact"/>
              <w:jc w:val="center"/>
              <w:rPr>
                <w:rFonts w:hint="eastAsia" w:ascii="方正仿宋_GB2312" w:hAnsi="方正仿宋_GB2312" w:eastAsia="方正仿宋_GB2312" w:cs="方正仿宋_GB2312"/>
                <w:bCs/>
                <w:color w:val="000000"/>
                <w:sz w:val="24"/>
                <w:szCs w:val="24"/>
              </w:rPr>
            </w:pPr>
          </w:p>
        </w:tc>
        <w:tc>
          <w:tcPr>
            <w:tcW w:w="4873" w:type="dxa"/>
            <w:vMerge w:val="continue"/>
            <w:vAlign w:val="center"/>
          </w:tcPr>
          <w:p w14:paraId="6E5078D1">
            <w:pPr>
              <w:spacing w:line="380" w:lineRule="exact"/>
              <w:jc w:val="center"/>
              <w:rPr>
                <w:rFonts w:hint="eastAsia" w:ascii="方正仿宋_GB2312" w:hAnsi="方正仿宋_GB2312" w:eastAsia="方正仿宋_GB2312" w:cs="方正仿宋_GB2312"/>
                <w:bCs/>
                <w:color w:val="000000"/>
                <w:sz w:val="24"/>
                <w:szCs w:val="24"/>
              </w:rPr>
            </w:pPr>
          </w:p>
        </w:tc>
        <w:tc>
          <w:tcPr>
            <w:tcW w:w="1287" w:type="dxa"/>
            <w:vAlign w:val="center"/>
          </w:tcPr>
          <w:p w14:paraId="2037EC9A">
            <w:pPr>
              <w:spacing w:line="336"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市、校级</w:t>
            </w:r>
          </w:p>
        </w:tc>
        <w:tc>
          <w:tcPr>
            <w:tcW w:w="701" w:type="dxa"/>
            <w:vAlign w:val="center"/>
          </w:tcPr>
          <w:p w14:paraId="1C7CA165">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0.4</w:t>
            </w:r>
          </w:p>
        </w:tc>
      </w:tr>
      <w:tr w14:paraId="6DD45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9" w:type="dxa"/>
            <w:vAlign w:val="center"/>
          </w:tcPr>
          <w:p w14:paraId="1837ECF0">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4.外语水平</w:t>
            </w:r>
          </w:p>
          <w:p w14:paraId="34897DE4">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（满分0.4）</w:t>
            </w:r>
          </w:p>
        </w:tc>
        <w:tc>
          <w:tcPr>
            <w:tcW w:w="4873" w:type="dxa"/>
            <w:vAlign w:val="center"/>
          </w:tcPr>
          <w:p w14:paraId="19AF7157">
            <w:pPr>
              <w:spacing w:line="38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全国大学英语六级考试500分及以上或托福考试100分及以上或雅思考试6.5分及以上</w:t>
            </w:r>
          </w:p>
        </w:tc>
        <w:tc>
          <w:tcPr>
            <w:tcW w:w="1287" w:type="dxa"/>
            <w:vAlign w:val="center"/>
          </w:tcPr>
          <w:p w14:paraId="7A9BE474">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w:t>
            </w:r>
          </w:p>
        </w:tc>
        <w:tc>
          <w:tcPr>
            <w:tcW w:w="701" w:type="dxa"/>
            <w:vAlign w:val="center"/>
          </w:tcPr>
          <w:p w14:paraId="49982BC7">
            <w:pPr>
              <w:spacing w:line="400" w:lineRule="exact"/>
              <w:jc w:val="center"/>
              <w:rPr>
                <w:rFonts w:hint="eastAsia" w:ascii="方正仿宋_GB2312" w:hAnsi="方正仿宋_GB2312" w:eastAsia="方正仿宋_GB2312" w:cs="方正仿宋_GB2312"/>
                <w:bCs/>
                <w:color w:val="000000"/>
                <w:sz w:val="24"/>
                <w:szCs w:val="24"/>
              </w:rPr>
            </w:pPr>
            <w:r>
              <w:rPr>
                <w:rFonts w:hint="eastAsia" w:ascii="方正仿宋_GB2312" w:hAnsi="方正仿宋_GB2312" w:eastAsia="方正仿宋_GB2312" w:cs="方正仿宋_GB2312"/>
                <w:bCs/>
                <w:color w:val="000000"/>
                <w:sz w:val="24"/>
                <w:szCs w:val="24"/>
              </w:rPr>
              <w:t>0.4</w:t>
            </w:r>
          </w:p>
        </w:tc>
      </w:tr>
    </w:tbl>
    <w:p w14:paraId="055B9D21">
      <w:pPr>
        <w:spacing w:line="560" w:lineRule="exact"/>
        <w:jc w:val="left"/>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
          <w:color w:val="000000"/>
          <w:sz w:val="32"/>
          <w:szCs w:val="32"/>
        </w:rPr>
        <w:t>说明</w:t>
      </w:r>
      <w:r>
        <w:rPr>
          <w:rFonts w:hint="eastAsia" w:ascii="方正仿宋_GB2312" w:hAnsi="方正仿宋_GB2312" w:eastAsia="方正仿宋_GB2312" w:cs="方正仿宋_GB2312"/>
          <w:bCs/>
          <w:color w:val="000000"/>
          <w:sz w:val="32"/>
          <w:szCs w:val="32"/>
        </w:rPr>
        <w:t>：</w:t>
      </w:r>
    </w:p>
    <w:p w14:paraId="26A7B2A9">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1.学生工作有关证明由辅导员提供，其他以证书或官网公开等为依据（公示除外）。</w:t>
      </w:r>
    </w:p>
    <w:p w14:paraId="4850C09F">
      <w:pPr>
        <w:spacing w:line="560" w:lineRule="exact"/>
        <w:ind w:firstLine="640" w:firstLineChars="200"/>
        <w:rPr>
          <w:rFonts w:hint="eastAsia" w:ascii="方正仿宋_GB2312" w:hAnsi="方正仿宋_GB2312" w:eastAsia="方正仿宋_GB2312" w:cs="方正仿宋_GB2312"/>
          <w:bCs/>
          <w:color w:val="000000"/>
          <w:sz w:val="32"/>
          <w:szCs w:val="32"/>
        </w:rPr>
      </w:pPr>
      <w:r>
        <w:rPr>
          <w:rFonts w:hint="eastAsia" w:ascii="方正仿宋_GB2312" w:hAnsi="方正仿宋_GB2312" w:eastAsia="方正仿宋_GB2312" w:cs="方正仿宋_GB2312"/>
          <w:bCs/>
          <w:color w:val="000000"/>
          <w:sz w:val="32"/>
          <w:szCs w:val="32"/>
        </w:rPr>
        <w:t>2.荣誉称号属集体的，经学院认定，其成员获得最高不超过相应项目1/2的加分值。</w:t>
      </w:r>
    </w:p>
    <w:p w14:paraId="0A7DD5AA">
      <w:pPr>
        <w:spacing w:line="560" w:lineRule="exact"/>
        <w:ind w:firstLine="643" w:firstLineChars="200"/>
        <w:rPr>
          <w:rFonts w:ascii="仿宋_GB2312" w:hAnsi="宋体" w:eastAsia="仿宋_GB2312" w:cs="宋体"/>
          <w:color w:val="000000"/>
          <w:sz w:val="32"/>
          <w:szCs w:val="32"/>
          <w:lang w:bidi="ar"/>
        </w:rPr>
      </w:pPr>
      <w:r>
        <w:rPr>
          <w:rFonts w:hint="eastAsia" w:ascii="方正仿宋_GB2312" w:hAnsi="方正仿宋_GB2312" w:eastAsia="方正仿宋_GB2312" w:cs="方正仿宋_GB2312"/>
          <w:b/>
          <w:bCs/>
          <w:color w:val="000000"/>
          <w:sz w:val="32"/>
          <w:szCs w:val="32"/>
        </w:rPr>
        <w:t>第七条</w:t>
      </w:r>
      <w:r>
        <w:rPr>
          <w:rFonts w:hint="eastAsia" w:ascii="方正仿宋_GB2312" w:hAnsi="方正仿宋_GB2312" w:eastAsia="方正仿宋_GB2312" w:cs="方正仿宋_GB2312"/>
          <w:bCs/>
          <w:color w:val="000000"/>
          <w:sz w:val="32"/>
          <w:szCs w:val="32"/>
        </w:rPr>
        <w:t xml:space="preserve">  </w:t>
      </w:r>
      <w:r>
        <w:rPr>
          <w:rFonts w:hint="eastAsia" w:ascii="方正仿宋_GB2312" w:hAnsi="方正仿宋_GB2312" w:eastAsia="方正仿宋_GB2312" w:cs="方正仿宋_GB2312"/>
          <w:color w:val="000000"/>
          <w:sz w:val="32"/>
          <w:szCs w:val="32"/>
          <w:lang w:bidi="ar"/>
        </w:rPr>
        <w:t>学院推免生遴选工作小组对申请学生进行综合评价，确定综合评价成绩，并从高分到低分进行排序，</w:t>
      </w:r>
      <w:r>
        <w:rPr>
          <w:rFonts w:hint="eastAsia" w:ascii="方正仿宋_GB2312" w:hAnsi="方正仿宋_GB2312" w:eastAsia="方正仿宋_GB2312" w:cs="方正仿宋_GB2312"/>
          <w:color w:val="000000"/>
          <w:sz w:val="32"/>
          <w:szCs w:val="32"/>
        </w:rPr>
        <w:t>按学校下达推免指标</w:t>
      </w:r>
      <w:r>
        <w:rPr>
          <w:rFonts w:hint="eastAsia" w:ascii="方正仿宋_GB2312" w:hAnsi="方正仿宋_GB2312" w:eastAsia="方正仿宋_GB2312" w:cs="方正仿宋_GB2312"/>
          <w:color w:val="000000"/>
          <w:sz w:val="32"/>
          <w:szCs w:val="32"/>
          <w:lang w:bidi="ar"/>
        </w:rPr>
        <w:t>的1.2倍确定拟推荐名单（按分配指标确定正式推荐名单，按分配指标的0.2倍确定候补推荐名单）。综合评价成绩同分情况下，以绩点排序，绩点高者优先；综合评价成绩和绩点同分的情况下，创新能力评价分高者优先；综合评价成绩、绩点和创新能力评价同分的情况下，发展素养评价分高者优先；如遇以上四项同分的情况，由学院推免生遴选工作小组研究决定排序。</w:t>
      </w:r>
    </w:p>
    <w:p w14:paraId="547769B9">
      <w:pPr>
        <w:adjustRightInd w:val="0"/>
        <w:snapToGrid w:val="0"/>
        <w:spacing w:before="156" w:beforeLines="50" w:after="156" w:afterLines="50" w:line="560" w:lineRule="exact"/>
        <w:jc w:val="center"/>
        <w:rPr>
          <w:rFonts w:hint="eastAsia" w:ascii="黑体" w:hAnsi="黑体" w:eastAsia="黑体" w:cs="宋体"/>
          <w:color w:val="000000"/>
          <w:sz w:val="32"/>
          <w:szCs w:val="32"/>
        </w:rPr>
      </w:pPr>
    </w:p>
    <w:p w14:paraId="34A8DF06">
      <w:pPr>
        <w:adjustRightInd w:val="0"/>
        <w:snapToGrid w:val="0"/>
        <w:spacing w:before="156" w:beforeLines="50" w:after="156" w:afterLines="50" w:line="560" w:lineRule="exact"/>
        <w:jc w:val="center"/>
        <w:rPr>
          <w:rFonts w:ascii="黑体" w:hAnsi="黑体" w:eastAsia="黑体" w:cs="宋体"/>
          <w:color w:val="000000"/>
          <w:sz w:val="32"/>
          <w:szCs w:val="32"/>
        </w:rPr>
      </w:pPr>
      <w:r>
        <w:rPr>
          <w:rFonts w:hint="eastAsia" w:ascii="黑体" w:hAnsi="黑体" w:eastAsia="黑体" w:cs="宋体"/>
          <w:color w:val="000000"/>
          <w:sz w:val="32"/>
          <w:szCs w:val="32"/>
        </w:rPr>
        <w:t>第五章  附件</w:t>
      </w:r>
    </w:p>
    <w:p w14:paraId="30872748">
      <w:pPr>
        <w:spacing w:line="560" w:lineRule="exact"/>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color w:val="000000"/>
          <w:sz w:val="32"/>
          <w:szCs w:val="32"/>
          <w:lang w:bidi="ar"/>
        </w:rPr>
        <w:t>第八条</w:t>
      </w:r>
      <w:r>
        <w:rPr>
          <w:rFonts w:hint="eastAsia" w:ascii="方正仿宋_GB2312" w:hAnsi="方正仿宋_GB2312" w:eastAsia="方正仿宋_GB2312" w:cs="方正仿宋_GB2312"/>
          <w:color w:val="000000"/>
          <w:sz w:val="32"/>
          <w:szCs w:val="32"/>
          <w:lang w:bidi="ar"/>
        </w:rPr>
        <w:t xml:space="preserve">  本细则以</w:t>
      </w:r>
      <w:r>
        <w:rPr>
          <w:rFonts w:hint="eastAsia" w:ascii="方正仿宋_GB2312" w:hAnsi="方正仿宋_GB2312" w:eastAsia="方正仿宋_GB2312" w:cs="方正仿宋_GB2312"/>
          <w:sz w:val="32"/>
          <w:szCs w:val="32"/>
        </w:rPr>
        <w:t>《华南农业大学推荐优秀应届本科毕业生免试攻读研究生实施办法》（2025年修订）（华南农办〔2025〕32号）为基础执行，</w:t>
      </w:r>
      <w:r>
        <w:rPr>
          <w:rFonts w:hint="eastAsia" w:ascii="方正仿宋_GB2312" w:hAnsi="方正仿宋_GB2312" w:eastAsia="方正仿宋_GB2312" w:cs="方正仿宋_GB2312"/>
          <w:color w:val="000000"/>
          <w:sz w:val="32"/>
          <w:szCs w:val="32"/>
          <w:lang w:bidi="ar"/>
        </w:rPr>
        <w:t>未尽事宜以《华南农业大学推荐优秀应届本科毕业生免试攻读研究生实施办法》（2025年修订）（华南农办〔2025〕32号）为准。</w:t>
      </w:r>
    </w:p>
    <w:p w14:paraId="4BFABB83">
      <w:pPr>
        <w:spacing w:line="560" w:lineRule="exact"/>
        <w:ind w:firstLine="643" w:firstLineChars="200"/>
        <w:rPr>
          <w:rFonts w:hint="eastAsia" w:ascii="方正仿宋_GB2312" w:hAnsi="方正仿宋_GB2312" w:eastAsia="方正仿宋_GB2312" w:cs="方正仿宋_GB2312"/>
          <w:color w:val="000000"/>
          <w:sz w:val="32"/>
          <w:szCs w:val="32"/>
          <w:lang w:bidi="ar"/>
        </w:rPr>
      </w:pPr>
      <w:r>
        <w:rPr>
          <w:rFonts w:hint="eastAsia" w:ascii="方正仿宋_GB2312" w:hAnsi="方正仿宋_GB2312" w:eastAsia="方正仿宋_GB2312" w:cs="方正仿宋_GB2312"/>
          <w:b/>
          <w:color w:val="000000"/>
          <w:sz w:val="32"/>
          <w:szCs w:val="32"/>
          <w:lang w:bidi="ar"/>
        </w:rPr>
        <w:t>第九条</w:t>
      </w:r>
      <w:r>
        <w:rPr>
          <w:rFonts w:hint="eastAsia" w:ascii="方正仿宋_GB2312" w:hAnsi="方正仿宋_GB2312" w:eastAsia="方正仿宋_GB2312" w:cs="方正仿宋_GB2312"/>
          <w:color w:val="000000"/>
          <w:sz w:val="32"/>
          <w:szCs w:val="32"/>
          <w:lang w:bidi="ar"/>
        </w:rPr>
        <w:t xml:space="preserve">  本细则自颁布之日起施行，由工程学院推免生遴选工作小组负责解释。《工程学院推荐优秀应届本科毕业生免试攻读研究生工作细则》（2024年修订）同时废止。</w:t>
      </w:r>
      <w:bookmarkStart w:id="0" w:name="_GoBack"/>
      <w:bookmarkEnd w:id="0"/>
    </w:p>
    <w:sectPr>
      <w:pgSz w:w="11906" w:h="16838"/>
      <w:pgMar w:top="2041" w:right="1531" w:bottom="1440"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FB90AA-B014-45BD-A5E5-C63E806C65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56D41D52-1F5E-4557-8A0F-00E620669FA0}"/>
  </w:font>
  <w:font w:name="方正小标宋简体">
    <w:panose1 w:val="02000000000000000000"/>
    <w:charset w:val="86"/>
    <w:family w:val="auto"/>
    <w:pitch w:val="default"/>
    <w:sig w:usb0="A00002BF" w:usb1="184F6CFA" w:usb2="00000012" w:usb3="00000000" w:csb0="00040001" w:csb1="00000000"/>
    <w:embedRegular r:id="rId3" w:fontKey="{96C340BD-C332-49A1-A3D0-27329B4061FC}"/>
  </w:font>
  <w:font w:name="仿宋_GB2312">
    <w:panose1 w:val="02010609030101010101"/>
    <w:charset w:val="86"/>
    <w:family w:val="modern"/>
    <w:pitch w:val="default"/>
    <w:sig w:usb0="00000001" w:usb1="080E0000" w:usb2="00000000" w:usb3="00000000" w:csb0="00040000" w:csb1="00000000"/>
    <w:embedRegular r:id="rId4" w:fontKey="{B43BDA92-DC49-4D5D-B02E-F766B40B4DF6}"/>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2312">
    <w:panose1 w:val="02000000000000000000"/>
    <w:charset w:val="86"/>
    <w:family w:val="auto"/>
    <w:pitch w:val="default"/>
    <w:sig w:usb0="A00002BF" w:usb1="184F6CFA" w:usb2="00000012" w:usb3="00000000" w:csb0="00040001" w:csb1="00000000"/>
    <w:embedRegular r:id="rId5" w:fontKey="{F294130B-291D-4DA8-9B03-3798CF24C13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M2VkZTA5MmZhYTE4MDVmMmFjNTAxYzMyOTgxM2EifQ=="/>
  </w:docVars>
  <w:rsids>
    <w:rsidRoot w:val="004F4691"/>
    <w:rsid w:val="0000401D"/>
    <w:rsid w:val="00006629"/>
    <w:rsid w:val="00030D09"/>
    <w:rsid w:val="00036CC1"/>
    <w:rsid w:val="00064790"/>
    <w:rsid w:val="00072F34"/>
    <w:rsid w:val="00073A06"/>
    <w:rsid w:val="000824DD"/>
    <w:rsid w:val="000838E5"/>
    <w:rsid w:val="000A4010"/>
    <w:rsid w:val="000B4DA1"/>
    <w:rsid w:val="000C149D"/>
    <w:rsid w:val="000C2914"/>
    <w:rsid w:val="000C31B0"/>
    <w:rsid w:val="000C4E50"/>
    <w:rsid w:val="000E2989"/>
    <w:rsid w:val="00103FED"/>
    <w:rsid w:val="00104238"/>
    <w:rsid w:val="00104A0E"/>
    <w:rsid w:val="00116019"/>
    <w:rsid w:val="00121011"/>
    <w:rsid w:val="00160F75"/>
    <w:rsid w:val="00163D06"/>
    <w:rsid w:val="001642D4"/>
    <w:rsid w:val="00164743"/>
    <w:rsid w:val="0017454E"/>
    <w:rsid w:val="00181438"/>
    <w:rsid w:val="00194922"/>
    <w:rsid w:val="001A3E9C"/>
    <w:rsid w:val="001B3661"/>
    <w:rsid w:val="001B420C"/>
    <w:rsid w:val="001B718D"/>
    <w:rsid w:val="001D509E"/>
    <w:rsid w:val="001F56AE"/>
    <w:rsid w:val="00203BF5"/>
    <w:rsid w:val="002105D0"/>
    <w:rsid w:val="002128C0"/>
    <w:rsid w:val="00216ABE"/>
    <w:rsid w:val="002352BE"/>
    <w:rsid w:val="00236D92"/>
    <w:rsid w:val="00263EE0"/>
    <w:rsid w:val="00290B66"/>
    <w:rsid w:val="002A25D9"/>
    <w:rsid w:val="002B2BBA"/>
    <w:rsid w:val="002C3D45"/>
    <w:rsid w:val="002D0B9C"/>
    <w:rsid w:val="002D3C79"/>
    <w:rsid w:val="002D6D16"/>
    <w:rsid w:val="002F4DA3"/>
    <w:rsid w:val="002F7B4A"/>
    <w:rsid w:val="003239BD"/>
    <w:rsid w:val="00324F3D"/>
    <w:rsid w:val="00332261"/>
    <w:rsid w:val="00340B97"/>
    <w:rsid w:val="0034226B"/>
    <w:rsid w:val="003454AC"/>
    <w:rsid w:val="00345679"/>
    <w:rsid w:val="00353F93"/>
    <w:rsid w:val="00364054"/>
    <w:rsid w:val="00367AF4"/>
    <w:rsid w:val="00380FE1"/>
    <w:rsid w:val="00383325"/>
    <w:rsid w:val="0039756D"/>
    <w:rsid w:val="003F42AF"/>
    <w:rsid w:val="00406692"/>
    <w:rsid w:val="004575E6"/>
    <w:rsid w:val="004A511B"/>
    <w:rsid w:val="004B38F6"/>
    <w:rsid w:val="004F0986"/>
    <w:rsid w:val="004F4691"/>
    <w:rsid w:val="00501173"/>
    <w:rsid w:val="005029BA"/>
    <w:rsid w:val="00520782"/>
    <w:rsid w:val="00541692"/>
    <w:rsid w:val="005434EB"/>
    <w:rsid w:val="005437F6"/>
    <w:rsid w:val="00555D5E"/>
    <w:rsid w:val="00557AF5"/>
    <w:rsid w:val="005A2195"/>
    <w:rsid w:val="005B785B"/>
    <w:rsid w:val="005C2EFE"/>
    <w:rsid w:val="005C514C"/>
    <w:rsid w:val="005C59FB"/>
    <w:rsid w:val="006140F9"/>
    <w:rsid w:val="00616196"/>
    <w:rsid w:val="00616658"/>
    <w:rsid w:val="006179DD"/>
    <w:rsid w:val="0062407C"/>
    <w:rsid w:val="006245EB"/>
    <w:rsid w:val="0062539E"/>
    <w:rsid w:val="006373A1"/>
    <w:rsid w:val="006431C3"/>
    <w:rsid w:val="0064336C"/>
    <w:rsid w:val="00653640"/>
    <w:rsid w:val="00655127"/>
    <w:rsid w:val="006968D0"/>
    <w:rsid w:val="006A656B"/>
    <w:rsid w:val="006B469C"/>
    <w:rsid w:val="006D347C"/>
    <w:rsid w:val="00701851"/>
    <w:rsid w:val="0073345E"/>
    <w:rsid w:val="007367A3"/>
    <w:rsid w:val="007414FC"/>
    <w:rsid w:val="00747D29"/>
    <w:rsid w:val="0075082C"/>
    <w:rsid w:val="0075791D"/>
    <w:rsid w:val="007A6387"/>
    <w:rsid w:val="007B3D65"/>
    <w:rsid w:val="007D0266"/>
    <w:rsid w:val="007E1564"/>
    <w:rsid w:val="007E4C85"/>
    <w:rsid w:val="007E7403"/>
    <w:rsid w:val="007F4330"/>
    <w:rsid w:val="00801ABF"/>
    <w:rsid w:val="00813451"/>
    <w:rsid w:val="0082681E"/>
    <w:rsid w:val="008357A1"/>
    <w:rsid w:val="00847E4C"/>
    <w:rsid w:val="00853986"/>
    <w:rsid w:val="00860823"/>
    <w:rsid w:val="00866B82"/>
    <w:rsid w:val="00890154"/>
    <w:rsid w:val="00894A98"/>
    <w:rsid w:val="008B757D"/>
    <w:rsid w:val="008C7A74"/>
    <w:rsid w:val="008C7D4A"/>
    <w:rsid w:val="008D178F"/>
    <w:rsid w:val="008D3DE9"/>
    <w:rsid w:val="008E5AB1"/>
    <w:rsid w:val="009761DC"/>
    <w:rsid w:val="00984D79"/>
    <w:rsid w:val="009B0326"/>
    <w:rsid w:val="009C6BFF"/>
    <w:rsid w:val="009D0F1B"/>
    <w:rsid w:val="009F4215"/>
    <w:rsid w:val="00A121BB"/>
    <w:rsid w:val="00A174C0"/>
    <w:rsid w:val="00A22255"/>
    <w:rsid w:val="00A51AFA"/>
    <w:rsid w:val="00A61214"/>
    <w:rsid w:val="00A72377"/>
    <w:rsid w:val="00A815AB"/>
    <w:rsid w:val="00A860F8"/>
    <w:rsid w:val="00A87210"/>
    <w:rsid w:val="00A90498"/>
    <w:rsid w:val="00A9532D"/>
    <w:rsid w:val="00AA2403"/>
    <w:rsid w:val="00AA2942"/>
    <w:rsid w:val="00AB7088"/>
    <w:rsid w:val="00AD31AE"/>
    <w:rsid w:val="00AF30CC"/>
    <w:rsid w:val="00AF607C"/>
    <w:rsid w:val="00AF68FF"/>
    <w:rsid w:val="00AF7147"/>
    <w:rsid w:val="00B10D62"/>
    <w:rsid w:val="00B15937"/>
    <w:rsid w:val="00B159EF"/>
    <w:rsid w:val="00B362F5"/>
    <w:rsid w:val="00B4398F"/>
    <w:rsid w:val="00B61B0D"/>
    <w:rsid w:val="00B81191"/>
    <w:rsid w:val="00BA2768"/>
    <w:rsid w:val="00BA4422"/>
    <w:rsid w:val="00BB2DAB"/>
    <w:rsid w:val="00BC6B6E"/>
    <w:rsid w:val="00BE3B24"/>
    <w:rsid w:val="00BF3005"/>
    <w:rsid w:val="00C04EB6"/>
    <w:rsid w:val="00C055CE"/>
    <w:rsid w:val="00C07510"/>
    <w:rsid w:val="00C22A32"/>
    <w:rsid w:val="00C37DCC"/>
    <w:rsid w:val="00C517BE"/>
    <w:rsid w:val="00C625E4"/>
    <w:rsid w:val="00C62D9D"/>
    <w:rsid w:val="00C6535A"/>
    <w:rsid w:val="00C727AD"/>
    <w:rsid w:val="00C84147"/>
    <w:rsid w:val="00C90B78"/>
    <w:rsid w:val="00C95E49"/>
    <w:rsid w:val="00CA4026"/>
    <w:rsid w:val="00CC00E7"/>
    <w:rsid w:val="00CE3DFF"/>
    <w:rsid w:val="00D23C6B"/>
    <w:rsid w:val="00D26005"/>
    <w:rsid w:val="00D3308F"/>
    <w:rsid w:val="00D4046C"/>
    <w:rsid w:val="00D81D6D"/>
    <w:rsid w:val="00D8246B"/>
    <w:rsid w:val="00D8604E"/>
    <w:rsid w:val="00DA763E"/>
    <w:rsid w:val="00DC1E31"/>
    <w:rsid w:val="00DC5F67"/>
    <w:rsid w:val="00DD1A89"/>
    <w:rsid w:val="00DF4373"/>
    <w:rsid w:val="00E02F57"/>
    <w:rsid w:val="00E10B3B"/>
    <w:rsid w:val="00E2521A"/>
    <w:rsid w:val="00E313BF"/>
    <w:rsid w:val="00E73939"/>
    <w:rsid w:val="00EB7151"/>
    <w:rsid w:val="00EC18FF"/>
    <w:rsid w:val="00ED1E9F"/>
    <w:rsid w:val="00ED336C"/>
    <w:rsid w:val="00EE1479"/>
    <w:rsid w:val="00EE314E"/>
    <w:rsid w:val="00F01E8D"/>
    <w:rsid w:val="00F34D6C"/>
    <w:rsid w:val="00F44914"/>
    <w:rsid w:val="00F4795F"/>
    <w:rsid w:val="00F47C9A"/>
    <w:rsid w:val="00F704DD"/>
    <w:rsid w:val="00F81237"/>
    <w:rsid w:val="00F847C3"/>
    <w:rsid w:val="00FA79E9"/>
    <w:rsid w:val="00FD4287"/>
    <w:rsid w:val="00FD746E"/>
    <w:rsid w:val="00FE0EEF"/>
    <w:rsid w:val="00FE7078"/>
    <w:rsid w:val="09DE12BD"/>
    <w:rsid w:val="22FE054D"/>
    <w:rsid w:val="28C95EF0"/>
    <w:rsid w:val="60812076"/>
    <w:rsid w:val="699617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6">
    <w:name w:val="Table Grid"/>
    <w:basedOn w:val="5"/>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 w:type="paragraph" w:customStyle="1" w:styleId="11">
    <w:name w:val="Revision"/>
    <w:hidden/>
    <w:semiHidden/>
    <w:qFormat/>
    <w:uiPriority w:val="99"/>
    <w:pPr>
      <w:spacing w:line="240" w:lineRule="auto"/>
      <w:jc w:val="left"/>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5ABE2-BFD1-4DA6-8E11-6BA78AC9991A}">
  <ds:schemaRefs/>
</ds:datastoreItem>
</file>

<file path=docProps/app.xml><?xml version="1.0" encoding="utf-8"?>
<Properties xmlns="http://schemas.openxmlformats.org/officeDocument/2006/extended-properties" xmlns:vt="http://schemas.openxmlformats.org/officeDocument/2006/docPropsVTypes">
  <Template>Normal</Template>
  <Pages>10</Pages>
  <Words>4464</Words>
  <Characters>4808</Characters>
  <Lines>37</Lines>
  <Paragraphs>10</Paragraphs>
  <TotalTime>651</TotalTime>
  <ScaleCrop>false</ScaleCrop>
  <LinksUpToDate>false</LinksUpToDate>
  <CharactersWithSpaces>4842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2025-06-29T13:54:00Z</dcterms:created>
  <dc:creator>陆永超</dc:creator>
  <cp:lastModifiedBy>林冰冰</cp:lastModifiedBy>
  <cp:lastPrinted>2024-06-26T01:25:00Z</cp:lastPrinted>
  <dcterms:modified xsi:type="dcterms:W3CDTF">2026-06-01T01:46:18Z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0400CF3DF2FE4586AE0141A7AA242CF9_13</vt:lpwstr>
  </property>
</Properties>
</file>